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3827"/>
        <w:gridCol w:w="3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</w:rPr>
              <w:t>CAT#：220</w:t>
            </w:r>
            <w:r>
              <w:rPr>
                <w:rFonts w:hint="eastAsia" w:ascii="华文中宋" w:hAnsi="华文中宋" w:eastAsia="华文中宋"/>
                <w:b/>
                <w:sz w:val="28"/>
                <w:lang w:val="en-US" w:eastAsia="zh-CN"/>
              </w:rPr>
              <w:t>563</w:t>
            </w:r>
            <w:r>
              <w:rPr>
                <w:rFonts w:hint="eastAsia" w:ascii="华文中宋" w:hAnsi="华文中宋" w:eastAsia="华文中宋"/>
                <w:b/>
                <w:sz w:val="28"/>
              </w:rPr>
              <w:t>N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</w:rPr>
              <w:t>常温</w:t>
            </w:r>
            <w:r>
              <w:rPr>
                <w:rFonts w:ascii="华文中宋" w:hAnsi="华文中宋" w:eastAsia="华文中宋"/>
                <w:b/>
                <w:sz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</w:rPr>
              <w:t>和</w:t>
            </w:r>
            <w:r>
              <w:rPr>
                <w:rFonts w:ascii="华文中宋" w:hAnsi="华文中宋" w:eastAsia="华文中宋"/>
                <w:b/>
                <w:sz w:val="28"/>
              </w:rPr>
              <w:t>保存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48180" cy="50101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18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  <w:jc w:val="center"/>
        </w:trPr>
        <w:tc>
          <w:tcPr>
            <w:tcW w:w="227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74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hint="eastAsia"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4" w:space="1"/>
              </w:pBdr>
              <w:rPr>
                <w:rFonts w:ascii="华文中宋" w:hAnsi="华文中宋" w:eastAsia="华文中宋"/>
                <w:b/>
                <w:sz w:val="44"/>
                <w:szCs w:val="44"/>
              </w:rPr>
            </w:pPr>
          </w:p>
          <w:p>
            <w:pPr>
              <w:pBdr>
                <w:bottom w:val="single" w:color="auto" w:sz="4" w:space="1"/>
              </w:pBdr>
              <w:spacing w:line="720" w:lineRule="auto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10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×</w:t>
            </w:r>
            <w:r>
              <w:fldChar w:fldCharType="begin"/>
            </w:r>
            <w:r>
              <w:instrText xml:space="preserve"> HYPERLINK "http://www.bingene.com/115919.html"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病毒保存液浓缩液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fldChar w:fldCharType="end"/>
            </w:r>
          </w:p>
          <w:p>
            <w:pPr>
              <w:pBdr>
                <w:bottom w:val="single" w:color="auto" w:sz="4" w:space="1"/>
              </w:pBdr>
              <w:spacing w:line="720" w:lineRule="auto"/>
              <w:rPr>
                <w:rFonts w:ascii="华文中宋" w:hAnsi="华文中宋" w:eastAsia="华文中宋"/>
                <w:b/>
                <w:smallCaps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（新冠流感病毒专用，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  <w:lang w:val="en-US" w:eastAsia="zh-CN"/>
              </w:rPr>
              <w:t>无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  <w:jc w:val="center"/>
        </w:trPr>
        <w:tc>
          <w:tcPr>
            <w:tcW w:w="22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77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使用手册V1.0</w:t>
            </w: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hint="eastAsia" w:ascii="华文中宋" w:hAnsi="华文中宋" w:eastAsia="华文中宋"/>
                <w:b/>
                <w:sz w:val="18"/>
                <w:szCs w:val="18"/>
              </w:rPr>
            </w:pPr>
          </w:p>
          <w:p>
            <w:pPr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01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江苏天净沙基因诊断技术有限公司</w:t>
            </w:r>
          </w:p>
          <w:p>
            <w:pPr>
              <w:spacing w:line="56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73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743" w:type="dxa"/>
            <w:gridSpan w:val="2"/>
          </w:tcPr>
          <w:p>
            <w:pPr>
              <w:spacing w:line="360" w:lineRule="auto"/>
              <w:ind w:firstLine="412" w:firstLineChars="200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很多呼吸道病毒，如新冠和流感等都是脂包膜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病毒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。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口咽拭子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、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鼻拭子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或其它拭子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是常用的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新冠和流感等脂包膜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病毒样品取材方法，与</w:t>
            </w:r>
            <w:r>
              <w:rPr>
                <w:rFonts w:ascii="华文中宋" w:hAnsi="华文中宋" w:eastAsia="华文中宋" w:cs="华文中宋"/>
                <w:spacing w:val="-17"/>
                <w:szCs w:val="21"/>
              </w:rPr>
              <w:t xml:space="preserve"> </w:t>
            </w:r>
            <w:r>
              <w:rPr>
                <w:rFonts w:ascii="华文中宋" w:hAnsi="华文中宋" w:eastAsia="华文中宋" w:cs="华文中宋"/>
                <w:szCs w:val="21"/>
              </w:rPr>
              <w:t>PCR</w:t>
            </w:r>
            <w:r>
              <w:rPr>
                <w:rFonts w:ascii="华文中宋" w:hAnsi="华文中宋" w:eastAsia="华文中宋" w:cs="华文中宋"/>
                <w:spacing w:val="-18"/>
                <w:szCs w:val="21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1"/>
                <w:szCs w:val="21"/>
              </w:rPr>
              <w:t>相结合可</w:t>
            </w:r>
            <w:r>
              <w:rPr>
                <w:rFonts w:ascii="华文中宋" w:hAnsi="华文中宋" w:eastAsia="华文中宋" w:cs="华文中宋"/>
                <w:spacing w:val="1"/>
                <w:szCs w:val="21"/>
              </w:rPr>
              <w:t>以用于快速检测</w:t>
            </w:r>
            <w:r>
              <w:rPr>
                <w:rFonts w:hint="eastAsia" w:ascii="华文中宋" w:hAnsi="华文中宋" w:eastAsia="华文中宋" w:cs="华文中宋"/>
                <w:spacing w:val="1"/>
                <w:szCs w:val="21"/>
              </w:rPr>
              <w:t>这些病毒</w:t>
            </w:r>
            <w:r>
              <w:rPr>
                <w:rFonts w:ascii="华文中宋" w:hAnsi="华文中宋" w:eastAsia="华文中宋" w:cs="华文中宋"/>
                <w:spacing w:val="1"/>
                <w:szCs w:val="21"/>
              </w:rPr>
              <w:t>。</w:t>
            </w:r>
            <w:r>
              <w:rPr>
                <w:rFonts w:hint="eastAsia" w:ascii="华文中宋" w:hAnsi="华文中宋" w:eastAsia="华文中宋" w:cs="华文中宋"/>
                <w:spacing w:val="1"/>
                <w:szCs w:val="21"/>
              </w:rPr>
              <w:t>由于采集</w:t>
            </w:r>
            <w:r>
              <w:rPr>
                <w:rFonts w:ascii="华文中宋" w:hAnsi="华文中宋" w:eastAsia="华文中宋" w:cs="华文中宋"/>
                <w:spacing w:val="1"/>
                <w:szCs w:val="21"/>
              </w:rPr>
              <w:t>样品</w:t>
            </w:r>
            <w:r>
              <w:rPr>
                <w:rFonts w:hint="eastAsia" w:ascii="华文中宋" w:hAnsi="华文中宋" w:eastAsia="华文中宋" w:cs="华文中宋"/>
                <w:spacing w:val="1"/>
                <w:szCs w:val="21"/>
              </w:rPr>
              <w:t>的地方和进行核酸检测的地方一般都不在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一处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，因此需要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对采集的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病毒样品进行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保存和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运输。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由于运输工作液，物流成本很高。为了降低物流成本，本公司开发了浓缩型病毒保存液，专门用于脂包膜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病毒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短时间运输和保存。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以浓缩液提供，运输和邮寄更加方便。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多重灭活机制，可以快速（5分钟内）灭活病毒，使得病毒迅速失去传染性，减少第二次感染。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低温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下（2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-8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℃）不容易形成结晶，不会影响后续的自动化或手动取样环节。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含有核酸保护剂，可以使RNA在常温放置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5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天不降解。DNA可以1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-2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周不降解。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含有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  <w:lang w:val="en-US" w:eastAsia="zh-CN"/>
              </w:rPr>
              <w:t>透明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染料，方便肉眼观察液面。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适用于各种拭子样品，包括口腔拭子、鼻腔拭子、咽喉拭子、阴道拭子等。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可以用于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新冠病毒、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流感病毒和其他任何可以用拭子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进行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取样的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脂包膜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病毒。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跟后续的柱式病毒核酸纯化试剂盒和磁珠法病毒核酸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提取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试剂盒兼容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预先分装的小管，可以避免交叉污染，更加方便。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hint="eastAsia" w:ascii="华文中宋" w:hAnsi="华文中宋" w:eastAsia="华文中宋"/>
                <w:bCs/>
                <w:szCs w:val="21"/>
              </w:rPr>
            </w:pP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试剂本身安全环保无毒。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2273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743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本产品采用4.5L包装</w:t>
            </w:r>
          </w:p>
          <w:tbl>
            <w:tblPr>
              <w:tblStyle w:val="4"/>
              <w:tblW w:w="727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5"/>
              <w:gridCol w:w="1453"/>
              <w:gridCol w:w="992"/>
              <w:gridCol w:w="18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97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成份</w:t>
                  </w:r>
                </w:p>
              </w:tc>
              <w:tc>
                <w:tcPr>
                  <w:tcW w:w="145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85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975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ab/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×</w:t>
                  </w:r>
                  <w:r>
                    <w:fldChar w:fldCharType="begin"/>
                  </w:r>
                  <w:r>
                    <w:instrText xml:space="preserve"> HYPERLINK "http://www.bingene.com/115919.html" </w:instrText>
                  </w:r>
                  <w:r>
                    <w:fldChar w:fldCharType="separate"/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病毒保存液浓缩液（新冠流感病毒专用，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无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色）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fldChar w:fldCharType="end"/>
                  </w:r>
                </w:p>
              </w:tc>
              <w:tc>
                <w:tcPr>
                  <w:tcW w:w="145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563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N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250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mL</w:t>
                  </w:r>
                </w:p>
              </w:tc>
              <w:tc>
                <w:tcPr>
                  <w:tcW w:w="185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97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45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sc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563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N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85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73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743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ascii="华文中宋" w:hAnsi="华文中宋" w:eastAsia="华文中宋"/>
                <w:bCs/>
                <w:szCs w:val="21"/>
              </w:rPr>
              <w:t>常温运输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和</w:t>
            </w:r>
            <w:r>
              <w:rPr>
                <w:rFonts w:ascii="华文中宋" w:hAnsi="华文中宋" w:eastAsia="华文中宋"/>
                <w:bCs/>
                <w:szCs w:val="21"/>
              </w:rPr>
              <w:t>保存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，有效期一年。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73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743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</w:rPr>
              <w:t>5mL塑料样品管、拭子。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273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743" w:type="dxa"/>
            <w:gridSpan w:val="2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</w:rPr>
              <w:t>在安全柜内</w:t>
            </w:r>
            <w:r>
              <w:rPr>
                <w:rFonts w:hint="eastAsia" w:ascii="华文中宋" w:hAnsi="华文中宋" w:eastAsia="华文中宋"/>
              </w:rPr>
              <w:t>将</w:t>
            </w:r>
            <w:r>
              <w:rPr>
                <w:rFonts w:ascii="华文中宋" w:hAnsi="华文中宋" w:eastAsia="华文中宋"/>
              </w:rPr>
              <w:t>本产品</w:t>
            </w:r>
            <w:r>
              <w:rPr>
                <w:rFonts w:hint="eastAsia" w:ascii="华文中宋" w:hAnsi="华文中宋" w:eastAsia="华文中宋"/>
              </w:rPr>
              <w:t>用蒸馏水稀释1</w:t>
            </w:r>
            <w:r>
              <w:rPr>
                <w:rFonts w:ascii="华文中宋" w:hAnsi="华文中宋" w:eastAsia="华文中宋"/>
              </w:rPr>
              <w:t>0</w:t>
            </w:r>
            <w:r>
              <w:rPr>
                <w:rFonts w:hint="eastAsia" w:ascii="华文中宋" w:hAnsi="华文中宋" w:eastAsia="华文中宋"/>
              </w:rPr>
              <w:t>倍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</w:rPr>
              <w:t>，比如1mL加9mL蒸馏水。轻柔混匀。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将稀释后的病毒保存液</w:t>
            </w:r>
            <w:r>
              <w:rPr>
                <w:rFonts w:ascii="华文中宋" w:hAnsi="华文中宋" w:eastAsia="华文中宋"/>
              </w:rPr>
              <w:t>分装到自备的、螺旋盖内有橡胶圈的 5 mL 旋盖塑料管里（一级容器）。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</w:rPr>
              <w:t>鼻拭子的采集：将棉签轻轻插入鼻道内鼻腭处，停留片刻后缓慢转动退出。 以同一拭子拭两侧鼻孔。将棉签浸入上步得到的、装有3 mL本产品的旋盖离心管中，弃去拭子尾部，拧紧螺旋盖。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</w:rPr>
              <w:t>咽拭子的采集：用棉签擦拭双侧咽扁桃体及咽后壁，将棉签浸入第一步得到的、装有3 mL本产品的旋盖离心管中，弃去拭子尾部，拧紧螺旋盖。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其它部位采样请参考相关操作要求。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</w:rPr>
              <w:t>直接在一级容器</w:t>
            </w:r>
            <w:r>
              <w:rPr>
                <w:rFonts w:hint="eastAsia" w:ascii="华文中宋" w:hAnsi="华文中宋" w:eastAsia="华文中宋"/>
              </w:rPr>
              <w:t>标签上</w:t>
            </w:r>
            <w:r>
              <w:rPr>
                <w:rFonts w:ascii="华文中宋" w:hAnsi="华文中宋" w:eastAsia="华文中宋"/>
              </w:rPr>
              <w:t>写明样本的种类、采样时间、编号、患者 姓名。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后续的核酸纯化操作按所用试剂盒的使用手册进行，本产品跟大多数基于柱式法和磁珠法的核酸纯化试剂盒兼容</w:t>
            </w:r>
            <w:r>
              <w:rPr>
                <w:rFonts w:ascii="华文中宋" w:hAnsi="华文中宋" w:eastAsia="华文中宋"/>
              </w:rPr>
              <w:t>。</w:t>
            </w:r>
            <w:r>
              <w:rPr>
                <w:rFonts w:ascii="华文中宋" w:hAnsi="华文中宋" w:eastAsia="华文中宋" w:cs="华文中宋"/>
                <w:szCs w:val="21"/>
              </w:rPr>
              <w:t>采集</w:t>
            </w: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的</w:t>
            </w:r>
            <w:r>
              <w:rPr>
                <w:rFonts w:ascii="华文中宋" w:hAnsi="华文中宋" w:eastAsia="华文中宋" w:cs="华文中宋"/>
                <w:szCs w:val="21"/>
              </w:rPr>
              <w:t>标</w:t>
            </w: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本</w:t>
            </w:r>
            <w:r>
              <w:rPr>
                <w:rFonts w:ascii="华文中宋" w:hAnsi="华文中宋" w:eastAsia="华文中宋" w:cs="华文中宋"/>
                <w:szCs w:val="21"/>
              </w:rPr>
              <w:t>若</w:t>
            </w: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不能</w:t>
            </w:r>
            <w:r>
              <w:rPr>
                <w:rFonts w:ascii="华文中宋" w:hAnsi="华文中宋" w:eastAsia="华文中宋" w:cs="华文中宋"/>
                <w:szCs w:val="21"/>
              </w:rPr>
              <w:t>在</w:t>
            </w:r>
            <w:r>
              <w:rPr>
                <w:rFonts w:ascii="华文中宋" w:hAnsi="华文中宋" w:eastAsia="华文中宋" w:cs="华文中宋"/>
                <w:spacing w:val="-15"/>
                <w:szCs w:val="21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24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小时</w:t>
            </w: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内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>进行后续核酸纯化处理，</w:t>
            </w: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则</w:t>
            </w:r>
            <w:r>
              <w:rPr>
                <w:rFonts w:ascii="华文中宋" w:hAnsi="华文中宋" w:eastAsia="华文中宋" w:cs="华文中宋"/>
                <w:szCs w:val="21"/>
              </w:rPr>
              <w:t>应</w:t>
            </w: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尽</w:t>
            </w:r>
            <w:r>
              <w:rPr>
                <w:rFonts w:ascii="华文中宋" w:hAnsi="华文中宋" w:eastAsia="华文中宋" w:cs="华文中宋"/>
                <w:szCs w:val="21"/>
              </w:rPr>
              <w:t>快</w:t>
            </w:r>
            <w:r>
              <w:rPr>
                <w:rFonts w:ascii="华文中宋" w:hAnsi="华文中宋" w:eastAsia="华文中宋" w:cs="华文中宋"/>
                <w:spacing w:val="-1"/>
                <w:szCs w:val="21"/>
              </w:rPr>
              <w:t>在</w:t>
            </w: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-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7</w:t>
            </w:r>
            <w:r>
              <w:rPr>
                <w:rFonts w:ascii="华文中宋" w:hAnsi="华文中宋" w:eastAsia="华文中宋" w:cs="华文中宋"/>
                <w:szCs w:val="21"/>
              </w:rPr>
              <w:t>0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℃</w:t>
            </w:r>
            <w:r>
              <w:rPr>
                <w:rFonts w:ascii="华文中宋" w:hAnsi="华文中宋" w:eastAsia="华文中宋" w:cs="华文中宋"/>
                <w:szCs w:val="21"/>
              </w:rPr>
              <w:t>以</w:t>
            </w:r>
            <w:r>
              <w:rPr>
                <w:rFonts w:ascii="华文中宋" w:hAnsi="华文中宋" w:eastAsia="华文中宋" w:cs="华文中宋"/>
                <w:spacing w:val="-3"/>
                <w:szCs w:val="21"/>
              </w:rPr>
              <w:t>下</w:t>
            </w:r>
            <w:r>
              <w:rPr>
                <w:rFonts w:ascii="华文中宋" w:hAnsi="华文中宋" w:eastAsia="华文中宋" w:cs="华文中宋"/>
                <w:szCs w:val="21"/>
              </w:rPr>
              <w:t>保存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，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如果无-</w:t>
            </w:r>
            <w:r>
              <w:rPr>
                <w:rFonts w:ascii="华文中宋" w:hAnsi="华文中宋" w:eastAsia="华文中宋" w:cs="华文中宋"/>
                <w:szCs w:val="21"/>
              </w:rPr>
              <w:t>7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0</w:t>
            </w:r>
            <w:r>
              <w:rPr>
                <w:rFonts w:ascii="华文中宋" w:hAnsi="华文中宋" w:eastAsia="华文中宋" w:cs="华文中宋"/>
                <w:szCs w:val="21"/>
              </w:rPr>
              <w:t>℃</w:t>
            </w:r>
            <w:r>
              <w:rPr>
                <w:rFonts w:ascii="华文中宋" w:hAnsi="华文中宋" w:eastAsia="华文中宋" w:cs="华文中宋"/>
                <w:spacing w:val="11"/>
                <w:szCs w:val="21"/>
              </w:rPr>
              <w:t>条件</w:t>
            </w:r>
            <w:r>
              <w:rPr>
                <w:rFonts w:hint="eastAsia" w:ascii="华文中宋" w:hAnsi="华文中宋" w:eastAsia="华文中宋" w:cs="华文中宋"/>
                <w:spacing w:val="11"/>
                <w:szCs w:val="21"/>
              </w:rPr>
              <w:t>，可以</w:t>
            </w:r>
            <w:r>
              <w:rPr>
                <w:rFonts w:ascii="华文中宋" w:hAnsi="华文中宋" w:eastAsia="华文中宋" w:cs="华文中宋"/>
                <w:spacing w:val="11"/>
                <w:szCs w:val="21"/>
              </w:rPr>
              <w:t>在</w:t>
            </w:r>
            <w:r>
              <w:rPr>
                <w:rFonts w:ascii="华文中宋" w:hAnsi="华文中宋" w:eastAsia="华文中宋" w:cs="华文中宋"/>
                <w:spacing w:val="13"/>
                <w:szCs w:val="21"/>
              </w:rPr>
              <w:t>2-8℃冰箱短时间暂存</w:t>
            </w:r>
            <w:r>
              <w:rPr>
                <w:rFonts w:hint="eastAsia" w:ascii="华文中宋" w:hAnsi="华文中宋" w:eastAsia="华文中宋" w:cs="华文中宋"/>
                <w:spacing w:val="13"/>
                <w:szCs w:val="21"/>
              </w:rPr>
              <w:t>至少</w:t>
            </w:r>
            <w:r>
              <w:rPr>
                <w:rFonts w:ascii="华文中宋" w:hAnsi="华文中宋" w:eastAsia="华文中宋" w:cs="华文中宋"/>
                <w:spacing w:val="13"/>
                <w:szCs w:val="21"/>
              </w:rPr>
              <w:t>5</w:t>
            </w:r>
            <w:r>
              <w:rPr>
                <w:rFonts w:hint="eastAsia" w:ascii="华文中宋" w:hAnsi="华文中宋" w:eastAsia="华文中宋" w:cs="华文中宋"/>
                <w:spacing w:val="13"/>
                <w:szCs w:val="21"/>
              </w:rPr>
              <w:t>天</w:t>
            </w:r>
            <w:r>
              <w:rPr>
                <w:rFonts w:ascii="华文中宋" w:hAnsi="华文中宋" w:eastAsia="华文中宋" w:cs="华文中宋"/>
                <w:spacing w:val="13"/>
                <w:szCs w:val="21"/>
              </w:rPr>
              <w:t>。流感病毒在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-20℃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-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40℃时不稳定，故长期保存最好在-70℃温度以下进行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，其它病毒的稳定性根据病毒不同而不同</w:t>
            </w:r>
            <w:r>
              <w:rPr>
                <w:rFonts w:ascii="华文中宋" w:hAnsi="华文中宋" w:eastAsia="华文中宋" w:cs="华文中宋"/>
                <w:spacing w:val="-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73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743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病毒保存液（去污剂灭活法）</w:t>
            </w:r>
          </w:p>
        </w:tc>
      </w:tr>
    </w:tbl>
    <w:p>
      <w:pPr>
        <w:rPr>
          <w:rFonts w:ascii="华文中宋" w:hAnsi="华文中宋" w:eastAsia="华文中宋"/>
          <w:b/>
          <w:sz w:val="18"/>
          <w:szCs w:val="18"/>
        </w:rPr>
        <w:sectPr>
          <w:headerReference r:id="rId3" w:type="default"/>
          <w:pgSz w:w="11906" w:h="16838"/>
          <w:pgMar w:top="1440" w:right="1800" w:bottom="468" w:left="1800" w:header="851" w:footer="992" w:gutter="0"/>
          <w:cols w:space="720" w:num="1"/>
          <w:docGrid w:type="lines" w:linePitch="312" w:charSpace="0"/>
        </w:sectPr>
      </w:pPr>
    </w:p>
    <w:p>
      <w:pPr>
        <w:sectPr>
          <w:type w:val="continuous"/>
          <w:pgSz w:w="11906" w:h="16838"/>
          <w:pgMar w:top="1440" w:right="1800" w:bottom="468" w:left="1800" w:header="851" w:footer="992" w:gutter="0"/>
          <w:cols w:space="425" w:num="2"/>
          <w:docGrid w:type="lines" w:linePitch="312" w:charSpace="0"/>
        </w:sectPr>
      </w:pPr>
    </w:p>
    <w:p>
      <w:pPr>
        <w:jc w:val="right"/>
        <w:rPr>
          <w:sz w:val="10"/>
          <w:szCs w:val="10"/>
        </w:rPr>
      </w:pPr>
      <w:r>
        <w:rPr>
          <w:sz w:val="10"/>
          <w:szCs w:val="10"/>
        </w:rPr>
        <w:t>20220</w:t>
      </w:r>
      <w:r>
        <w:rPr>
          <w:rFonts w:hint="eastAsia"/>
          <w:sz w:val="10"/>
          <w:szCs w:val="10"/>
        </w:rPr>
        <w:t>630dx</w:t>
      </w:r>
    </w:p>
    <w:sectPr>
      <w:type w:val="continuous"/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A53BA"/>
    <w:multiLevelType w:val="multilevel"/>
    <w:tmpl w:val="32BA53B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C4C66F1"/>
    <w:multiLevelType w:val="multilevel"/>
    <w:tmpl w:val="3C4C66F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2YzllZmZhODIyMDU0MGFmODMxZGRjNjJjNjI0NmYifQ=="/>
  </w:docVars>
  <w:rsids>
    <w:rsidRoot w:val="001938CE"/>
    <w:rsid w:val="00004A5B"/>
    <w:rsid w:val="00027A0B"/>
    <w:rsid w:val="00053A34"/>
    <w:rsid w:val="00055C61"/>
    <w:rsid w:val="00070E79"/>
    <w:rsid w:val="000744AD"/>
    <w:rsid w:val="000C4CF3"/>
    <w:rsid w:val="000C5F40"/>
    <w:rsid w:val="000D49A3"/>
    <w:rsid w:val="000E515D"/>
    <w:rsid w:val="000E592E"/>
    <w:rsid w:val="000F67BF"/>
    <w:rsid w:val="00103714"/>
    <w:rsid w:val="00120771"/>
    <w:rsid w:val="001540D8"/>
    <w:rsid w:val="001938CE"/>
    <w:rsid w:val="001D4C62"/>
    <w:rsid w:val="001F0584"/>
    <w:rsid w:val="00207233"/>
    <w:rsid w:val="00212779"/>
    <w:rsid w:val="0023379A"/>
    <w:rsid w:val="00270710"/>
    <w:rsid w:val="0027294C"/>
    <w:rsid w:val="00282664"/>
    <w:rsid w:val="002A0B04"/>
    <w:rsid w:val="002C20CA"/>
    <w:rsid w:val="002F3A8E"/>
    <w:rsid w:val="0031734D"/>
    <w:rsid w:val="00380DA3"/>
    <w:rsid w:val="003A1787"/>
    <w:rsid w:val="003C0C32"/>
    <w:rsid w:val="00427053"/>
    <w:rsid w:val="00430425"/>
    <w:rsid w:val="004415D5"/>
    <w:rsid w:val="00463ECA"/>
    <w:rsid w:val="004A2A64"/>
    <w:rsid w:val="004C2175"/>
    <w:rsid w:val="004C3A05"/>
    <w:rsid w:val="004C6746"/>
    <w:rsid w:val="004D231E"/>
    <w:rsid w:val="005A1A38"/>
    <w:rsid w:val="005A4D57"/>
    <w:rsid w:val="005A4DBF"/>
    <w:rsid w:val="005D3D05"/>
    <w:rsid w:val="006161ED"/>
    <w:rsid w:val="00657D14"/>
    <w:rsid w:val="00663054"/>
    <w:rsid w:val="006818B9"/>
    <w:rsid w:val="006C3F43"/>
    <w:rsid w:val="006D2CD9"/>
    <w:rsid w:val="006F65CC"/>
    <w:rsid w:val="0070310B"/>
    <w:rsid w:val="00703A8B"/>
    <w:rsid w:val="00711978"/>
    <w:rsid w:val="00746659"/>
    <w:rsid w:val="0076206F"/>
    <w:rsid w:val="00762607"/>
    <w:rsid w:val="00770740"/>
    <w:rsid w:val="007D73D2"/>
    <w:rsid w:val="007E0208"/>
    <w:rsid w:val="008079C3"/>
    <w:rsid w:val="008209C3"/>
    <w:rsid w:val="0083415D"/>
    <w:rsid w:val="00845A05"/>
    <w:rsid w:val="00872B6D"/>
    <w:rsid w:val="00880B4A"/>
    <w:rsid w:val="00882D29"/>
    <w:rsid w:val="00894BD7"/>
    <w:rsid w:val="008A2CE2"/>
    <w:rsid w:val="008B4B6B"/>
    <w:rsid w:val="00985F7B"/>
    <w:rsid w:val="00990B4D"/>
    <w:rsid w:val="009A1798"/>
    <w:rsid w:val="009D41BA"/>
    <w:rsid w:val="00A32E7E"/>
    <w:rsid w:val="00A752F1"/>
    <w:rsid w:val="00A80C01"/>
    <w:rsid w:val="00B035C5"/>
    <w:rsid w:val="00B9263B"/>
    <w:rsid w:val="00B9745B"/>
    <w:rsid w:val="00BA1FCC"/>
    <w:rsid w:val="00BA298B"/>
    <w:rsid w:val="00BB2888"/>
    <w:rsid w:val="00BB5176"/>
    <w:rsid w:val="00BD3AE7"/>
    <w:rsid w:val="00BE0CE7"/>
    <w:rsid w:val="00BE3731"/>
    <w:rsid w:val="00BF766C"/>
    <w:rsid w:val="00C25056"/>
    <w:rsid w:val="00C63A16"/>
    <w:rsid w:val="00C66E3E"/>
    <w:rsid w:val="00C67181"/>
    <w:rsid w:val="00C717EC"/>
    <w:rsid w:val="00C75433"/>
    <w:rsid w:val="00C819DB"/>
    <w:rsid w:val="00C94293"/>
    <w:rsid w:val="00CD33CD"/>
    <w:rsid w:val="00CE156E"/>
    <w:rsid w:val="00CF465B"/>
    <w:rsid w:val="00D07A32"/>
    <w:rsid w:val="00D378B7"/>
    <w:rsid w:val="00D47C76"/>
    <w:rsid w:val="00DD4221"/>
    <w:rsid w:val="00DF4444"/>
    <w:rsid w:val="00E16C24"/>
    <w:rsid w:val="00E40E0E"/>
    <w:rsid w:val="00E41A94"/>
    <w:rsid w:val="00E468EF"/>
    <w:rsid w:val="00E61D65"/>
    <w:rsid w:val="00EB390D"/>
    <w:rsid w:val="00EF4A56"/>
    <w:rsid w:val="00F15CD0"/>
    <w:rsid w:val="00F56A8F"/>
    <w:rsid w:val="00FE59F2"/>
    <w:rsid w:val="09450BB0"/>
    <w:rsid w:val="26CA021E"/>
    <w:rsid w:val="331C72AA"/>
    <w:rsid w:val="38D73362"/>
    <w:rsid w:val="3D420B21"/>
    <w:rsid w:val="3E620905"/>
    <w:rsid w:val="3F5E086B"/>
    <w:rsid w:val="541C2B19"/>
    <w:rsid w:val="5AA5740E"/>
    <w:rsid w:val="5BC460A3"/>
    <w:rsid w:val="6EF23B3E"/>
    <w:rsid w:val="74354499"/>
    <w:rsid w:val="7E00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10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3</Pages>
  <Words>1077</Words>
  <Characters>1198</Characters>
  <Lines>10</Lines>
  <Paragraphs>2</Paragraphs>
  <TotalTime>246</TotalTime>
  <ScaleCrop>false</ScaleCrop>
  <LinksUpToDate>false</LinksUpToDate>
  <CharactersWithSpaces>1209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2017-10-18T05:19:00Z</dcterms:created>
  <dc:creator>user</dc:creator>
  <cp:lastModifiedBy>설양</cp:lastModifiedBy>
  <cp:lastPrinted>2022-06-30T10:11:00Z</cp:lastPrinted>
  <dcterms:modified xsi:type="dcterms:W3CDTF">2022-07-12T01:45:02Z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C7D4D6E7BA0649B3ADD34BD2A5E05BF7</vt:lpwstr>
  </property>
</Properties>
</file>