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3827"/>
        <w:gridCol w:w="3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</w:rPr>
              <w:t>CAT#：220942</w:t>
            </w:r>
            <w:r>
              <w:rPr>
                <w:rFonts w:hint="eastAsia" w:ascii="华文中宋" w:hAnsi="华文中宋" w:eastAsia="华文中宋"/>
                <w:b/>
                <w:sz w:val="28"/>
                <w:lang w:val="en-US" w:eastAsia="zh-CN"/>
              </w:rPr>
              <w:t>-250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</w:rPr>
              <w:t>常温</w:t>
            </w:r>
            <w:r>
              <w:rPr>
                <w:rFonts w:ascii="华文中宋" w:hAnsi="华文中宋" w:eastAsia="华文中宋"/>
                <w:b/>
                <w:sz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</w:rPr>
              <w:t>和</w:t>
            </w:r>
            <w:r>
              <w:rPr>
                <w:rFonts w:ascii="华文中宋" w:hAnsi="华文中宋" w:eastAsia="华文中宋"/>
                <w:b/>
                <w:sz w:val="28"/>
              </w:rPr>
              <w:t>保存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48180" cy="5010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  <w:jc w:val="center"/>
        </w:trPr>
        <w:tc>
          <w:tcPr>
            <w:tcW w:w="227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74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hint="eastAsia"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  <w:p>
            <w:pPr>
              <w:pBdr>
                <w:bottom w:val="single" w:color="auto" w:sz="4" w:space="1"/>
              </w:pBdr>
              <w:spacing w:line="720" w:lineRule="auto"/>
              <w:rPr>
                <w:rFonts w:ascii="华文中宋" w:hAnsi="华文中宋" w:eastAsia="华文中宋"/>
                <w:b/>
                <w:smallCaps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fldChar w:fldCharType="begin"/>
            </w: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instrText xml:space="preserve"> HYPERLINK "http://www.bingene.com/63508.html" </w:instrText>
            </w: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非冻型尿液RNA保存液</w:t>
            </w: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  <w:jc w:val="center"/>
        </w:trPr>
        <w:tc>
          <w:tcPr>
            <w:tcW w:w="22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77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hint="eastAsia"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01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江苏天净沙基因诊断技术有限公司</w:t>
            </w:r>
          </w:p>
          <w:p>
            <w:pPr>
              <w:spacing w:line="56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73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743" w:type="dxa"/>
            <w:gridSpan w:val="2"/>
          </w:tcPr>
          <w:p>
            <w:pPr>
              <w:spacing w:line="360" w:lineRule="auto"/>
              <w:ind w:firstLine="412" w:firstLineChars="200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很多呼吸道病毒，如新冠和流感等都是脂包膜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病毒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。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口咽拭子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、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鼻拭子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或其它拭子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是常用的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新冠和流感等脂包膜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病毒样品取材方法，与</w:t>
            </w:r>
            <w:r>
              <w:rPr>
                <w:rFonts w:ascii="华文中宋" w:hAnsi="华文中宋" w:eastAsia="华文中宋" w:cs="华文中宋"/>
                <w:spacing w:val="-17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zCs w:val="21"/>
              </w:rPr>
              <w:t>PCR</w:t>
            </w:r>
            <w:r>
              <w:rPr>
                <w:rFonts w:ascii="华文中宋" w:hAnsi="华文中宋" w:eastAsia="华文中宋" w:cs="华文中宋"/>
                <w:spacing w:val="-18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>相结合可</w:t>
            </w: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>以用于快速检测</w:t>
            </w:r>
            <w:r>
              <w:rPr>
                <w:rFonts w:hint="eastAsia" w:ascii="华文中宋" w:hAnsi="华文中宋" w:eastAsia="华文中宋" w:cs="华文中宋"/>
                <w:spacing w:val="1"/>
                <w:szCs w:val="21"/>
              </w:rPr>
              <w:t>这些病毒</w:t>
            </w: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>。</w:t>
            </w:r>
            <w:r>
              <w:rPr>
                <w:rFonts w:hint="eastAsia" w:ascii="华文中宋" w:hAnsi="华文中宋" w:eastAsia="华文中宋" w:cs="华文中宋"/>
                <w:spacing w:val="1"/>
                <w:szCs w:val="21"/>
              </w:rPr>
              <w:t>由于采集</w:t>
            </w: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>样品</w:t>
            </w:r>
            <w:r>
              <w:rPr>
                <w:rFonts w:hint="eastAsia" w:ascii="华文中宋" w:hAnsi="华文中宋" w:eastAsia="华文中宋" w:cs="华文中宋"/>
                <w:spacing w:val="1"/>
                <w:szCs w:val="21"/>
              </w:rPr>
              <w:t>的地方和进行核酸检测的地方一般都不在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一处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，因此需要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对采集的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病毒样品进行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保存和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运输。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由于运输工作液，物流成本很高。为了降低物流成本，本公司开发了浓缩型病毒保存液，专门用于脂包膜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病毒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短时间运输和保存。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以浓缩液提供，运输和邮寄更加方便。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多重灭活机制，可以快速（5分钟内）灭活病毒，使得病毒迅速失去传染性，减少第二次感染。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低温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下（2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-8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℃）不容易形成结晶，不会影响后续的自动化或手动取样环节。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含有核酸保护剂，可以使RNA在常温放置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5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天不降解。DNA可以1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-2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周不降解。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含有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  <w:lang w:val="en-US" w:eastAsia="zh-CN"/>
              </w:rPr>
              <w:t>透明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染料，方便肉眼观察液面。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适用于各种拭子样品，包括口腔拭子、鼻腔拭子、咽喉拭子、阴道拭子等。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可以用于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新冠病毒、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流感病毒和其他任何可以用拭子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进行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取样的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脂包膜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病毒。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跟后续的柱式病毒核酸纯化试剂盒和磁珠法病毒核酸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提取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试剂盒兼容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预先分装的小管，可以避免交叉污染，更加方便。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hint="eastAsia" w:ascii="华文中宋" w:hAnsi="华文中宋" w:eastAsia="华文中宋"/>
                <w:bCs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试剂本身安全环保无毒。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2273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743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本产品采用4.5L包装</w:t>
            </w:r>
          </w:p>
          <w:tbl>
            <w:tblPr>
              <w:tblStyle w:val="4"/>
              <w:tblW w:w="727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5"/>
              <w:gridCol w:w="1453"/>
              <w:gridCol w:w="992"/>
              <w:gridCol w:w="18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97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成份</w:t>
                  </w:r>
                </w:p>
              </w:tc>
              <w:tc>
                <w:tcPr>
                  <w:tcW w:w="145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85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975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fldChar w:fldCharType="begin"/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instrText xml:space="preserve"> HYPERLINK "http://www.bingene.com/63508.html" </w:instrTex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fldChar w:fldCharType="separate"/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非冻型尿液RNA保存液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fldChar w:fldCharType="end"/>
                  </w:r>
                </w:p>
              </w:tc>
              <w:tc>
                <w:tcPr>
                  <w:tcW w:w="145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942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250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mL</w:t>
                  </w:r>
                </w:p>
              </w:tc>
              <w:tc>
                <w:tcPr>
                  <w:tcW w:w="185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97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5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sc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942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N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85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73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743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ascii="华文中宋" w:hAnsi="华文中宋" w:eastAsia="华文中宋"/>
                <w:bCs/>
                <w:szCs w:val="21"/>
              </w:rPr>
              <w:t>常温运输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和</w:t>
            </w:r>
            <w:r>
              <w:rPr>
                <w:rFonts w:ascii="华文中宋" w:hAnsi="华文中宋" w:eastAsia="华文中宋"/>
                <w:bCs/>
                <w:szCs w:val="21"/>
              </w:rPr>
              <w:t>保存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，有效期一年。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73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743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</w:rPr>
              <w:t>5mL塑料样品管、拭子。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273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743" w:type="dxa"/>
            <w:gridSpan w:val="2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在安全柜内</w:t>
            </w:r>
            <w:r>
              <w:rPr>
                <w:rFonts w:hint="eastAsia" w:ascii="华文中宋" w:hAnsi="华文中宋" w:eastAsia="华文中宋"/>
              </w:rPr>
              <w:t>将</w:t>
            </w:r>
            <w:r>
              <w:rPr>
                <w:rFonts w:ascii="华文中宋" w:hAnsi="华文中宋" w:eastAsia="华文中宋"/>
              </w:rPr>
              <w:t>本产品</w:t>
            </w:r>
            <w:r>
              <w:rPr>
                <w:rFonts w:hint="eastAsia" w:ascii="华文中宋" w:hAnsi="华文中宋" w:eastAsia="华文中宋"/>
              </w:rPr>
              <w:t>用蒸馏水稀释1</w:t>
            </w:r>
            <w:r>
              <w:rPr>
                <w:rFonts w:ascii="华文中宋" w:hAnsi="华文中宋" w:eastAsia="华文中宋"/>
              </w:rPr>
              <w:t>0</w:t>
            </w:r>
            <w:r>
              <w:rPr>
                <w:rFonts w:hint="eastAsia" w:ascii="华文中宋" w:hAnsi="华文中宋" w:eastAsia="华文中宋"/>
              </w:rPr>
              <w:t>倍，比如1mL加9mL蒸馏水。轻柔混匀。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将稀释后的病毒保存液</w:t>
            </w:r>
            <w:r>
              <w:rPr>
                <w:rFonts w:ascii="华文中宋" w:hAnsi="华文中宋" w:eastAsia="华文中宋"/>
              </w:rPr>
              <w:t>分装到自备的、螺旋盖内有橡胶圈的 5 mL 旋盖塑料管里（一级容器）。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鼻拭子的采集：将棉签轻轻插入鼻道内鼻腭处，停留片刻后缓慢转动退出。 以同一拭子拭两侧鼻孔。将棉签浸入上步得到的、装有3 mL本产品的旋盖离心管中，弃去拭子尾部，拧紧螺旋盖。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咽拭子的采集：用棉签擦拭双侧咽扁桃体及咽后壁，将棉签浸入第一步得到的、装有3 mL本产品的旋盖离心管中，弃去拭子尾部，拧紧螺旋盖。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其它部位采样请参考相关操作要求。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直接在一级容器</w:t>
            </w:r>
            <w:r>
              <w:rPr>
                <w:rFonts w:hint="eastAsia" w:ascii="华文中宋" w:hAnsi="华文中宋" w:eastAsia="华文中宋"/>
              </w:rPr>
              <w:t>标签上</w:t>
            </w:r>
            <w:r>
              <w:rPr>
                <w:rFonts w:ascii="华文中宋" w:hAnsi="华文中宋" w:eastAsia="华文中宋"/>
              </w:rPr>
              <w:t>写明样本的种类、采样时间、编号、患者 姓名。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后续的核酸纯化操作按所用试剂盒的使用手册进行，本产品跟大多数基于柱式法和磁珠法的核酸纯化试剂盒兼容</w:t>
            </w:r>
            <w:r>
              <w:rPr>
                <w:rFonts w:ascii="华文中宋" w:hAnsi="华文中宋" w:eastAsia="华文中宋"/>
              </w:rPr>
              <w:t>。</w:t>
            </w:r>
            <w:r>
              <w:rPr>
                <w:rFonts w:ascii="华文中宋" w:hAnsi="华文中宋" w:eastAsia="华文中宋" w:cs="华文中宋"/>
                <w:szCs w:val="21"/>
              </w:rPr>
              <w:t>采集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的</w:t>
            </w:r>
            <w:r>
              <w:rPr>
                <w:rFonts w:ascii="华文中宋" w:hAnsi="华文中宋" w:eastAsia="华文中宋" w:cs="华文中宋"/>
                <w:szCs w:val="21"/>
              </w:rPr>
              <w:t>标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本</w:t>
            </w:r>
            <w:r>
              <w:rPr>
                <w:rFonts w:ascii="华文中宋" w:hAnsi="华文中宋" w:eastAsia="华文中宋" w:cs="华文中宋"/>
                <w:szCs w:val="21"/>
              </w:rPr>
              <w:t>若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不能</w:t>
            </w:r>
            <w:r>
              <w:rPr>
                <w:rFonts w:ascii="华文中宋" w:hAnsi="华文中宋" w:eastAsia="华文中宋" w:cs="华文中宋"/>
                <w:szCs w:val="21"/>
              </w:rPr>
              <w:t>在</w:t>
            </w:r>
            <w:r>
              <w:rPr>
                <w:rFonts w:ascii="华文中宋" w:hAnsi="华文中宋" w:eastAsia="华文中宋" w:cs="华文中宋"/>
                <w:spacing w:val="-15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24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小时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内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进行后续核酸纯化处理，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则</w:t>
            </w:r>
            <w:r>
              <w:rPr>
                <w:rFonts w:ascii="华文中宋" w:hAnsi="华文中宋" w:eastAsia="华文中宋" w:cs="华文中宋"/>
                <w:szCs w:val="21"/>
              </w:rPr>
              <w:t>应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尽</w:t>
            </w:r>
            <w:r>
              <w:rPr>
                <w:rFonts w:ascii="华文中宋" w:hAnsi="华文中宋" w:eastAsia="华文中宋" w:cs="华文中宋"/>
                <w:szCs w:val="21"/>
              </w:rPr>
              <w:t>快</w:t>
            </w: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>在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-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7</w:t>
            </w:r>
            <w:r>
              <w:rPr>
                <w:rFonts w:ascii="华文中宋" w:hAnsi="华文中宋" w:eastAsia="华文中宋" w:cs="华文中宋"/>
                <w:szCs w:val="21"/>
              </w:rPr>
              <w:t>0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℃</w:t>
            </w:r>
            <w:r>
              <w:rPr>
                <w:rFonts w:ascii="华文中宋" w:hAnsi="华文中宋" w:eastAsia="华文中宋" w:cs="华文中宋"/>
                <w:szCs w:val="21"/>
              </w:rPr>
              <w:t>以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下</w:t>
            </w:r>
            <w:r>
              <w:rPr>
                <w:rFonts w:ascii="华文中宋" w:hAnsi="华文中宋" w:eastAsia="华文中宋" w:cs="华文中宋"/>
                <w:szCs w:val="21"/>
              </w:rPr>
              <w:t>保存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，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如果无-</w:t>
            </w:r>
            <w:r>
              <w:rPr>
                <w:rFonts w:ascii="华文中宋" w:hAnsi="华文中宋" w:eastAsia="华文中宋" w:cs="华文中宋"/>
                <w:szCs w:val="21"/>
              </w:rPr>
              <w:t>7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0</w:t>
            </w:r>
            <w:r>
              <w:rPr>
                <w:rFonts w:ascii="华文中宋" w:hAnsi="华文中宋" w:eastAsia="华文中宋" w:cs="华文中宋"/>
                <w:szCs w:val="21"/>
              </w:rPr>
              <w:t>℃</w:t>
            </w:r>
            <w:r>
              <w:rPr>
                <w:rFonts w:ascii="华文中宋" w:hAnsi="华文中宋" w:eastAsia="华文中宋" w:cs="华文中宋"/>
                <w:spacing w:val="11"/>
                <w:szCs w:val="21"/>
              </w:rPr>
              <w:t>条件</w:t>
            </w:r>
            <w:r>
              <w:rPr>
                <w:rFonts w:hint="eastAsia" w:ascii="华文中宋" w:hAnsi="华文中宋" w:eastAsia="华文中宋" w:cs="华文中宋"/>
                <w:spacing w:val="11"/>
                <w:szCs w:val="21"/>
              </w:rPr>
              <w:t>，可以</w:t>
            </w:r>
            <w:r>
              <w:rPr>
                <w:rFonts w:ascii="华文中宋" w:hAnsi="华文中宋" w:eastAsia="华文中宋" w:cs="华文中宋"/>
                <w:spacing w:val="11"/>
                <w:szCs w:val="21"/>
              </w:rPr>
              <w:t>在</w:t>
            </w:r>
            <w:r>
              <w:rPr>
                <w:rFonts w:ascii="华文中宋" w:hAnsi="华文中宋" w:eastAsia="华文中宋" w:cs="华文中宋"/>
                <w:spacing w:val="13"/>
                <w:szCs w:val="21"/>
              </w:rPr>
              <w:t>2-8℃冰箱短时间暂存</w:t>
            </w:r>
            <w:r>
              <w:rPr>
                <w:rFonts w:hint="eastAsia" w:ascii="华文中宋" w:hAnsi="华文中宋" w:eastAsia="华文中宋" w:cs="华文中宋"/>
                <w:spacing w:val="13"/>
                <w:szCs w:val="21"/>
              </w:rPr>
              <w:t>至少</w:t>
            </w:r>
            <w:r>
              <w:rPr>
                <w:rFonts w:ascii="华文中宋" w:hAnsi="华文中宋" w:eastAsia="华文中宋" w:cs="华文中宋"/>
                <w:spacing w:val="13"/>
                <w:szCs w:val="21"/>
              </w:rPr>
              <w:t>5</w:t>
            </w:r>
            <w:r>
              <w:rPr>
                <w:rFonts w:hint="eastAsia" w:ascii="华文中宋" w:hAnsi="华文中宋" w:eastAsia="华文中宋" w:cs="华文中宋"/>
                <w:spacing w:val="13"/>
                <w:szCs w:val="21"/>
              </w:rPr>
              <w:t>天</w:t>
            </w:r>
            <w:r>
              <w:rPr>
                <w:rFonts w:ascii="华文中宋" w:hAnsi="华文中宋" w:eastAsia="华文中宋" w:cs="华文中宋"/>
                <w:spacing w:val="13"/>
                <w:szCs w:val="21"/>
              </w:rPr>
              <w:t>。流感病毒在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-20℃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-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40℃时不稳定，故长期保存最好在-70℃温度以下进行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，其它病毒的稳定性根据病毒不同而不同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73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743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病毒保存液（去污剂灭活法）</w:t>
            </w:r>
          </w:p>
        </w:tc>
      </w:tr>
    </w:tbl>
    <w:p>
      <w:pPr>
        <w:rPr>
          <w:rFonts w:ascii="华文中宋" w:hAnsi="华文中宋" w:eastAsia="华文中宋"/>
          <w:b/>
          <w:sz w:val="18"/>
          <w:szCs w:val="18"/>
        </w:rPr>
        <w:sectPr>
          <w:headerReference r:id="rId3" w:type="default"/>
          <w:pgSz w:w="11906" w:h="16838"/>
          <w:pgMar w:top="1440" w:right="1800" w:bottom="468" w:left="1800" w:header="851" w:footer="992" w:gutter="0"/>
          <w:cols w:space="720" w:num="1"/>
          <w:docGrid w:type="lines" w:linePitch="312" w:charSpace="0"/>
        </w:sectPr>
      </w:pPr>
    </w:p>
    <w:p>
      <w:pPr>
        <w:sectPr>
          <w:type w:val="continuous"/>
          <w:pgSz w:w="11906" w:h="16838"/>
          <w:pgMar w:top="1440" w:right="1800" w:bottom="468" w:left="1800" w:header="851" w:footer="992" w:gutter="0"/>
          <w:cols w:space="425" w:num="2"/>
          <w:docGrid w:type="lines" w:linePitch="312" w:charSpace="0"/>
        </w:sectPr>
      </w:pPr>
    </w:p>
    <w:p>
      <w:pPr>
        <w:jc w:val="right"/>
        <w:rPr>
          <w:sz w:val="10"/>
          <w:szCs w:val="10"/>
        </w:rPr>
      </w:pPr>
      <w:r>
        <w:rPr>
          <w:sz w:val="10"/>
          <w:szCs w:val="10"/>
        </w:rPr>
        <w:t>20220</w:t>
      </w:r>
      <w:r>
        <w:rPr>
          <w:rFonts w:hint="eastAsia"/>
          <w:sz w:val="10"/>
          <w:szCs w:val="10"/>
        </w:rPr>
        <w:t>630dx</w:t>
      </w:r>
    </w:p>
    <w:sectPr>
      <w:type w:val="continuous"/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A53BA"/>
    <w:multiLevelType w:val="multilevel"/>
    <w:tmpl w:val="32BA53B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C4C66F1"/>
    <w:multiLevelType w:val="multilevel"/>
    <w:tmpl w:val="3C4C66F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xMGNkYTJhN2NkODc0MzYwZWZhYmI0Y2E4ZDVlOGEifQ=="/>
  </w:docVars>
  <w:rsids>
    <w:rsidRoot w:val="001938CE"/>
    <w:rsid w:val="00004A5B"/>
    <w:rsid w:val="00027A0B"/>
    <w:rsid w:val="00053A34"/>
    <w:rsid w:val="00055C61"/>
    <w:rsid w:val="00070E79"/>
    <w:rsid w:val="000744AD"/>
    <w:rsid w:val="000C4CF3"/>
    <w:rsid w:val="000C5F40"/>
    <w:rsid w:val="000D49A3"/>
    <w:rsid w:val="000E515D"/>
    <w:rsid w:val="000E592E"/>
    <w:rsid w:val="000F67BF"/>
    <w:rsid w:val="00103714"/>
    <w:rsid w:val="00120771"/>
    <w:rsid w:val="001540D8"/>
    <w:rsid w:val="001938CE"/>
    <w:rsid w:val="001D4C62"/>
    <w:rsid w:val="001F0584"/>
    <w:rsid w:val="00207233"/>
    <w:rsid w:val="00212779"/>
    <w:rsid w:val="0023379A"/>
    <w:rsid w:val="00270710"/>
    <w:rsid w:val="0027294C"/>
    <w:rsid w:val="00282664"/>
    <w:rsid w:val="002A0B04"/>
    <w:rsid w:val="002C20CA"/>
    <w:rsid w:val="002F3A8E"/>
    <w:rsid w:val="0031734D"/>
    <w:rsid w:val="00380DA3"/>
    <w:rsid w:val="003A1787"/>
    <w:rsid w:val="003C0C32"/>
    <w:rsid w:val="00427053"/>
    <w:rsid w:val="00430425"/>
    <w:rsid w:val="004415D5"/>
    <w:rsid w:val="00463ECA"/>
    <w:rsid w:val="004A2A64"/>
    <w:rsid w:val="004C2175"/>
    <w:rsid w:val="004C3A05"/>
    <w:rsid w:val="004C6746"/>
    <w:rsid w:val="004D231E"/>
    <w:rsid w:val="005A1A38"/>
    <w:rsid w:val="005A4D57"/>
    <w:rsid w:val="005A4DBF"/>
    <w:rsid w:val="005D3D05"/>
    <w:rsid w:val="006161ED"/>
    <w:rsid w:val="00657D14"/>
    <w:rsid w:val="00663054"/>
    <w:rsid w:val="006818B9"/>
    <w:rsid w:val="006C3F43"/>
    <w:rsid w:val="006D2CD9"/>
    <w:rsid w:val="006F65CC"/>
    <w:rsid w:val="0070310B"/>
    <w:rsid w:val="00703A8B"/>
    <w:rsid w:val="00711978"/>
    <w:rsid w:val="00746659"/>
    <w:rsid w:val="0076206F"/>
    <w:rsid w:val="00762607"/>
    <w:rsid w:val="00770740"/>
    <w:rsid w:val="007D73D2"/>
    <w:rsid w:val="007E0208"/>
    <w:rsid w:val="008079C3"/>
    <w:rsid w:val="008209C3"/>
    <w:rsid w:val="0083415D"/>
    <w:rsid w:val="00845A05"/>
    <w:rsid w:val="00872B6D"/>
    <w:rsid w:val="00880B4A"/>
    <w:rsid w:val="00882D29"/>
    <w:rsid w:val="00894BD7"/>
    <w:rsid w:val="008A2CE2"/>
    <w:rsid w:val="008B4B6B"/>
    <w:rsid w:val="00985F7B"/>
    <w:rsid w:val="00990B4D"/>
    <w:rsid w:val="009A1798"/>
    <w:rsid w:val="009D41BA"/>
    <w:rsid w:val="00A32E7E"/>
    <w:rsid w:val="00A752F1"/>
    <w:rsid w:val="00A80C01"/>
    <w:rsid w:val="00B035C5"/>
    <w:rsid w:val="00B9263B"/>
    <w:rsid w:val="00B9745B"/>
    <w:rsid w:val="00BA1FCC"/>
    <w:rsid w:val="00BA298B"/>
    <w:rsid w:val="00BB2888"/>
    <w:rsid w:val="00BB5176"/>
    <w:rsid w:val="00BD3AE7"/>
    <w:rsid w:val="00BE0CE7"/>
    <w:rsid w:val="00BE3731"/>
    <w:rsid w:val="00BF766C"/>
    <w:rsid w:val="00C25056"/>
    <w:rsid w:val="00C63A16"/>
    <w:rsid w:val="00C66E3E"/>
    <w:rsid w:val="00C67181"/>
    <w:rsid w:val="00C717EC"/>
    <w:rsid w:val="00C75433"/>
    <w:rsid w:val="00C819DB"/>
    <w:rsid w:val="00C94293"/>
    <w:rsid w:val="00CD33CD"/>
    <w:rsid w:val="00CE156E"/>
    <w:rsid w:val="00CF465B"/>
    <w:rsid w:val="00D07A32"/>
    <w:rsid w:val="00D378B7"/>
    <w:rsid w:val="00D47C76"/>
    <w:rsid w:val="00DD4221"/>
    <w:rsid w:val="00DF4444"/>
    <w:rsid w:val="00E16C24"/>
    <w:rsid w:val="00E40E0E"/>
    <w:rsid w:val="00E41A94"/>
    <w:rsid w:val="00E468EF"/>
    <w:rsid w:val="00E61D65"/>
    <w:rsid w:val="00EB390D"/>
    <w:rsid w:val="00EF4A56"/>
    <w:rsid w:val="00F15CD0"/>
    <w:rsid w:val="00F56A8F"/>
    <w:rsid w:val="00FE59F2"/>
    <w:rsid w:val="06AF1A51"/>
    <w:rsid w:val="09450BB0"/>
    <w:rsid w:val="0B473971"/>
    <w:rsid w:val="26CA021E"/>
    <w:rsid w:val="331C72AA"/>
    <w:rsid w:val="38D73362"/>
    <w:rsid w:val="3D420B21"/>
    <w:rsid w:val="3E620905"/>
    <w:rsid w:val="3F5E086B"/>
    <w:rsid w:val="541C2B19"/>
    <w:rsid w:val="5AA5740E"/>
    <w:rsid w:val="5BC460A3"/>
    <w:rsid w:val="6EF23B3E"/>
    <w:rsid w:val="74354499"/>
    <w:rsid w:val="7E0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10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3</Pages>
  <Words>1077</Words>
  <Characters>1198</Characters>
  <Lines>10</Lines>
  <Paragraphs>2</Paragraphs>
  <TotalTime>1</TotalTime>
  <ScaleCrop>false</ScaleCrop>
  <LinksUpToDate>false</LinksUpToDate>
  <CharactersWithSpaces>1209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2017-10-18T05:19:00Z</dcterms:created>
  <dc:creator>user</dc:creator>
  <cp:lastModifiedBy>天净沙</cp:lastModifiedBy>
  <cp:lastPrinted>2022-06-30T10:11:00Z</cp:lastPrinted>
  <dcterms:modified xsi:type="dcterms:W3CDTF">2022-09-07T06:21:29Z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C7D4D6E7BA0649B3ADD34BD2A5E05BF7</vt:lpwstr>
  </property>
</Properties>
</file>