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4964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50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CAT#:220715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-50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和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inline distT="0" distB="0" distL="114300" distR="114300">
                  <wp:extent cx="1901825" cy="440690"/>
                  <wp:effectExtent l="0" t="0" r="3175" b="1651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2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pBdr>
                <w:bottom w:val="single" w:color="auto" w:sz="4" w:space="1"/>
              </w:pBdr>
              <w:spacing w:line="720" w:lineRule="auto"/>
              <w:jc w:val="left"/>
              <w:rPr>
                <w:rFonts w:hint="eastAsia" w:ascii="华文中宋" w:hAnsi="华文中宋" w:eastAsia="华文中宋"/>
                <w:b/>
                <w:smallCaps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fldChar w:fldCharType="begin"/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instrText xml:space="preserve"> HYPERLINK "http://www.bingene.com/116193.html" </w:instrTex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免RNA提取FFPE RT-PCR试剂盒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2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27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before="25" w:line="624" w:lineRule="exact"/>
              <w:ind w:firstLine="147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 HYPERLINK "http://www.bingene.com" 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；电话：400-6605850；电邮：order@bingene.com</w:t>
            </w:r>
          </w:p>
        </w:tc>
      </w:tr>
    </w:tbl>
    <w:p>
      <w:pPr>
        <w:spacing w:line="360" w:lineRule="auto"/>
        <w:jc w:val="right"/>
        <w:rPr>
          <w:rFonts w:ascii="华文中宋" w:hAnsi="华文中宋" w:eastAsia="华文中宋"/>
          <w:b/>
          <w:sz w:val="28"/>
          <w:szCs w:val="28"/>
        </w:rPr>
        <w:sectPr>
          <w:pgSz w:w="11906" w:h="16838"/>
          <w:pgMar w:top="1440" w:right="1797" w:bottom="623" w:left="1797" w:header="851" w:footer="992" w:gutter="284"/>
          <w:cols w:space="720" w:num="1"/>
          <w:docGrid w:type="linesAndChars" w:linePitch="312" w:charSpace="0"/>
        </w:sectPr>
      </w:pPr>
    </w:p>
    <w:tbl>
      <w:tblPr>
        <w:tblStyle w:val="4"/>
        <w:tblW w:w="985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9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989" w:type="dxa"/>
            <w:noWrap w:val="0"/>
            <w:vAlign w:val="top"/>
          </w:tcPr>
          <w:p>
            <w:pPr>
              <w:pStyle w:val="12"/>
              <w:tabs>
                <w:tab w:val="left" w:pos="616"/>
                <w:tab w:val="left" w:pos="617"/>
              </w:tabs>
              <w:spacing w:before="36" w:line="360" w:lineRule="auto"/>
              <w:ind w:left="207" w:firstLine="420" w:firstLineChars="200"/>
              <w:jc w:val="left"/>
              <w:rPr>
                <w:rFonts w:hint="eastAsia"/>
              </w:rPr>
            </w:pPr>
            <w:r>
              <w:t>福尔马林固定和石蜡包埋（FFPE）组织是疾病机制的回顾性临床研究中使用最为广泛的标本。但是由于它们的保存时间一般都比较长，很不容易从中提取到可以进行PCR的RNA，存在的主要问题是RNA的降解和脱蜡过程中样品的丢失。本产品专门用来免提取释放切片核酸的试剂盒，它具有如下特点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</w:pPr>
            <w:r>
              <w:t>免核酸提取，可以直接作为核酸扩增的模板。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cDNA第一链合成试剂盒可灵活选用随机引物、Oligo dT引物或专一引物，适合各种情况。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PCR mix含有上样染料，所以PCR产物可直接上样电泳。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两管式操作，RT和PCR分步进行，便于单独优化RT反应和PCR反应的条件。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扩增效率高，最高可扩增1kb以上的RNA。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本试剂盒足够</w:t>
            </w:r>
            <w:r>
              <w:rPr>
                <w:rFonts w:hint="eastAsia"/>
                <w:lang w:eastAsia="zh-CN"/>
              </w:rPr>
              <w:t>对</w:t>
            </w:r>
            <w:r>
              <w:t>50</w:t>
            </w:r>
            <w:r>
              <w:rPr>
                <w:rFonts w:hint="eastAsia"/>
                <w:lang w:eastAsia="zh-CN"/>
              </w:rPr>
              <w:t>张石蜡切片进行免提取</w:t>
            </w:r>
            <w:r>
              <w:t>RT-PCR</w:t>
            </w:r>
            <w:r>
              <w:rPr>
                <w:rFonts w:hint="eastAsia"/>
                <w:lang w:eastAsia="zh-CN"/>
              </w:rPr>
              <w:t>扩增</w:t>
            </w:r>
            <w:r>
              <w:t>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16"/>
                <w:tab w:val="left" w:pos="617"/>
                <w:tab w:val="clear" w:pos="312"/>
              </w:tabs>
              <w:spacing w:before="36" w:line="360" w:lineRule="auto"/>
              <w:ind w:left="207"/>
              <w:jc w:val="left"/>
              <w:rPr>
                <w:rFonts w:hint="eastAsia"/>
              </w:rPr>
            </w:pPr>
            <w:r>
              <w:t>本产品只能用于科研。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989" w:type="dxa"/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75" w:tblpY="514"/>
              <w:tblOverlap w:val="never"/>
              <w:tblW w:w="75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7"/>
              <w:gridCol w:w="1303"/>
              <w:gridCol w:w="1130"/>
              <w:gridCol w:w="19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成份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编号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规格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FFPE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RNA释放剂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220715a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30 mL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30 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×RT-PCR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Buffer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91202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00 uL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本色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×RT-PCR酶混合液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91202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b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 uL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RNase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-free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水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980403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 mL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 2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蓝盖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177" w:type="dxa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使用手册</w:t>
                  </w:r>
                </w:p>
              </w:tc>
              <w:tc>
                <w:tcPr>
                  <w:tcW w:w="13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220715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sc</w:t>
                  </w:r>
                </w:p>
              </w:tc>
              <w:tc>
                <w:tcPr>
                  <w:tcW w:w="11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1份</w:t>
                  </w:r>
                </w:p>
              </w:tc>
              <w:tc>
                <w:tcPr>
                  <w:tcW w:w="195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本产品使用小扁盒包装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98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 w:cs="华文中宋"/>
                <w:lang w:val="nl-NL" w:eastAsia="nl-NL" w:bidi="nl-NL"/>
              </w:rPr>
              <w:t>低温运输，-20°C保存，有效期一年</w:t>
            </w:r>
            <w:r>
              <w:rPr>
                <w:rFonts w:hint="eastAsia" w:ascii="华文中宋" w:hAnsi="华文中宋" w:eastAsia="华文中宋" w:cs="华文中宋"/>
                <w:lang w:val="nl-NL" w:bidi="nl-NL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989" w:type="dxa"/>
            <w:noWrap w:val="0"/>
            <w:vAlign w:val="center"/>
          </w:tcPr>
          <w:p>
            <w:pPr>
              <w:spacing w:line="360" w:lineRule="auto"/>
              <w:ind w:right="-34" w:rightChars="-16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华文中宋"/>
                <w:lang w:val="nl-NL" w:eastAsia="nl-NL" w:bidi="nl-NL"/>
              </w:rPr>
              <w:t>阳性对照和阴性对照</w:t>
            </w:r>
            <w:r>
              <w:rPr>
                <w:rFonts w:ascii="华文中宋" w:hAnsi="华文中宋" w:eastAsia="华文中宋" w:cs="华文中宋"/>
                <w:lang w:val="nl-NL" w:eastAsia="nl-NL" w:bidi="nl-NL"/>
              </w:rPr>
              <w:t>，</w:t>
            </w:r>
            <w:r>
              <w:rPr>
                <w:rFonts w:hint="eastAsia" w:ascii="华文中宋" w:hAnsi="华文中宋" w:eastAsia="华文中宋" w:cs="华文中宋"/>
                <w:lang w:val="nl-NL" w:eastAsia="nl-NL" w:bidi="nl-NL"/>
              </w:rPr>
              <w:t>RNase</w:t>
            </w:r>
            <w:r>
              <w:rPr>
                <w:rFonts w:ascii="华文中宋" w:hAnsi="华文中宋" w:eastAsia="华文中宋" w:cs="华文中宋"/>
                <w:lang w:val="nl-NL" w:eastAsia="nl-NL" w:bidi="nl-NL"/>
              </w:rPr>
              <w:t>-free 的1.5 mL离心管（耗材）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7989" w:type="dxa"/>
            <w:noWrap w:val="0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RNA</w:t>
            </w:r>
            <w:r>
              <w:rPr>
                <w:rFonts w:ascii="华文中宋" w:hAnsi="华文中宋" w:eastAsia="华文中宋"/>
                <w:b/>
                <w:szCs w:val="21"/>
              </w:rPr>
              <w:t>的释放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如果有N个样品，可设置N+2个提取，多出的一个是PC（样品制备阳性对照），一个是NC（样品制备阴性对照）。可以用水作为制备的阴性对照。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将 1-5片厚度为6-8um 的石蜡包埋组织切片转移到1.5mL塑料离心管中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 xml:space="preserve">并加入1 mL </w:t>
            </w:r>
            <w:r>
              <w:rPr>
                <w:rFonts w:hint="eastAsia" w:ascii="华文中宋" w:hAnsi="华文中宋" w:eastAsia="华文中宋"/>
                <w:szCs w:val="21"/>
              </w:rPr>
              <w:t>FFPE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RNA释放剂</w:t>
            </w:r>
            <w:r>
              <w:rPr>
                <w:rFonts w:ascii="华文中宋" w:hAnsi="华文中宋" w:eastAsia="华文中宋"/>
                <w:szCs w:val="21"/>
              </w:rPr>
              <w:t>溶，振荡器上以最大速度振荡10 秒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室温放置1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室温1</w:t>
            </w:r>
            <w:r>
              <w:rPr>
                <w:rFonts w:ascii="华文中宋" w:hAnsi="华文中宋" w:eastAsia="华文中宋"/>
                <w:szCs w:val="21"/>
              </w:rPr>
              <w:t>4000</w:t>
            </w:r>
            <w:r>
              <w:rPr>
                <w:rFonts w:hint="eastAsia" w:ascii="华文中宋" w:hAnsi="华文中宋" w:eastAsia="华文中宋"/>
                <w:szCs w:val="21"/>
              </w:rPr>
              <w:t>g</w:t>
            </w:r>
            <w:r>
              <w:rPr>
                <w:rFonts w:ascii="华文中宋" w:hAnsi="华文中宋" w:eastAsia="华文中宋"/>
                <w:szCs w:val="21"/>
              </w:rPr>
              <w:t>离心</w:t>
            </w:r>
            <w:r>
              <w:rPr>
                <w:rFonts w:hint="eastAsia" w:ascii="华文中宋" w:hAnsi="华文中宋" w:eastAsia="华文中宋"/>
                <w:szCs w:val="21"/>
              </w:rPr>
              <w:t>1分钟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将上清（含RNA）转移到一个新的RNase</w:t>
            </w:r>
            <w:r>
              <w:rPr>
                <w:rFonts w:ascii="华文中宋" w:hAnsi="华文中宋" w:eastAsia="华文中宋"/>
                <w:szCs w:val="21"/>
              </w:rPr>
              <w:t>-free离心管</w:t>
            </w:r>
            <w:r>
              <w:rPr>
                <w:rFonts w:hint="eastAsia" w:ascii="华文中宋" w:hAnsi="华文中宋" w:eastAsia="华文中宋"/>
                <w:szCs w:val="21"/>
              </w:rPr>
              <w:t>中。此上清液</w:t>
            </w:r>
            <w:r>
              <w:rPr>
                <w:rFonts w:ascii="华文中宋" w:hAnsi="华文中宋" w:eastAsia="华文中宋"/>
                <w:szCs w:val="21"/>
              </w:rPr>
              <w:t>可以直接用做PCR、RT-PCR、LAMP 和 RT-LAMP 扩增的模板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未用完的可以放-80°C长期保存。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二、设置RT-PCR反应（20μL体系）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标记N+4个PCR管，其中N+2个用于上步得到的RNA样品，额外增加的两个管一个用于RT-PCR阳性对照，另一个用于RT-PCR阴性对照。按照下表在各PCR管中加入下列成分：</w:t>
            </w:r>
          </w:p>
          <w:tbl>
            <w:tblPr>
              <w:tblStyle w:val="4"/>
              <w:tblW w:w="72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6"/>
              <w:gridCol w:w="1431"/>
              <w:gridCol w:w="1236"/>
              <w:gridCol w:w="1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成份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N+2个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样品管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RT-PCR阴性对照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RT-PCR阳性对照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 Buffer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 xml:space="preserve">各10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 xml:space="preserve">10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RT-PCR酶混合液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自备RT-PCR引物，1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pmol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/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uL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各2 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2 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制备的N+2个RNA模板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各7 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超纯水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7 μL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自备RT-PCR阳性对照（如果有）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不加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7 μL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上机进行RT-PCR。下面的RT-PCR反应参数仅供参考:</w:t>
            </w:r>
          </w:p>
          <w:tbl>
            <w:tblPr>
              <w:tblStyle w:val="4"/>
              <w:tblW w:w="42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5"/>
              <w:gridCol w:w="1019"/>
              <w:gridCol w:w="1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42℃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55分钟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5分钟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（30个循环）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22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55℃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22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65℃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延伸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72℃</w:t>
                  </w:r>
                </w:p>
              </w:tc>
              <w:tc>
                <w:tcPr>
                  <w:tcW w:w="1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10分钟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三、电泳分析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华文中宋" w:hAnsi="华文中宋" w:eastAsia="华文中宋" w:cs="华文中宋"/>
                <w:lang w:bidi="nl-NL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取10uL扩增产物进行常规琼脂糖电泳，检测扩增效果。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989" w:type="dxa"/>
            <w:noWrap w:val="0"/>
            <w:vAlign w:val="center"/>
          </w:tcPr>
          <w:p>
            <w:pPr>
              <w:spacing w:line="360" w:lineRule="auto"/>
              <w:ind w:right="-34" w:rightChars="-16"/>
              <w:rPr>
                <w:rFonts w:ascii="华文中宋" w:hAnsi="华文中宋" w:eastAsia="华文中宋" w:cs="华文中宋"/>
                <w:lang w:bidi="nl-NL"/>
              </w:rPr>
            </w:pPr>
            <w:r>
              <w:rPr>
                <w:rFonts w:ascii="华文中宋" w:hAnsi="华文中宋" w:eastAsia="华文中宋" w:cs="华文中宋"/>
                <w:lang w:bidi="nl-NL"/>
              </w:rPr>
              <w:t>石蜡包埋组织RNA</w:t>
            </w:r>
            <w:r>
              <w:rPr>
                <w:rFonts w:hint="eastAsia" w:ascii="华文中宋" w:hAnsi="华文中宋" w:eastAsia="华文中宋" w:cs="华文中宋"/>
                <w:lang w:bidi="nl-NL"/>
              </w:rPr>
              <w:t>纯化试剂盒</w:t>
            </w:r>
          </w:p>
        </w:tc>
      </w:tr>
    </w:tbl>
    <w:p>
      <w:pPr>
        <w:jc w:val="right"/>
        <w:rPr>
          <w:sz w:val="10"/>
          <w:szCs w:val="10"/>
        </w:rPr>
      </w:pPr>
      <w:r>
        <w:rPr>
          <w:rFonts w:hint="eastAsia"/>
          <w:sz w:val="10"/>
          <w:szCs w:val="10"/>
        </w:rPr>
        <w:t>20220715dx</w:t>
      </w:r>
    </w:p>
    <w:sectPr>
      <w:pgSz w:w="11906" w:h="16838"/>
      <w:pgMar w:top="779" w:right="1797" w:bottom="31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1518D"/>
    <w:multiLevelType w:val="singleLevel"/>
    <w:tmpl w:val="D081518D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1">
    <w:nsid w:val="7986BA0F"/>
    <w:multiLevelType w:val="singleLevel"/>
    <w:tmpl w:val="7986B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1938CE"/>
    <w:rsid w:val="00004A5B"/>
    <w:rsid w:val="00020BAE"/>
    <w:rsid w:val="00024A4B"/>
    <w:rsid w:val="00030BE6"/>
    <w:rsid w:val="00032069"/>
    <w:rsid w:val="00040768"/>
    <w:rsid w:val="00046590"/>
    <w:rsid w:val="0005490C"/>
    <w:rsid w:val="00055C61"/>
    <w:rsid w:val="000575B9"/>
    <w:rsid w:val="00073154"/>
    <w:rsid w:val="0009796F"/>
    <w:rsid w:val="000B4559"/>
    <w:rsid w:val="000B52A7"/>
    <w:rsid w:val="000B5368"/>
    <w:rsid w:val="000C064A"/>
    <w:rsid w:val="000C0A86"/>
    <w:rsid w:val="000D49A3"/>
    <w:rsid w:val="00101A7B"/>
    <w:rsid w:val="00104DE8"/>
    <w:rsid w:val="00114C55"/>
    <w:rsid w:val="0012208C"/>
    <w:rsid w:val="00144F57"/>
    <w:rsid w:val="001471DB"/>
    <w:rsid w:val="001540D8"/>
    <w:rsid w:val="00154F09"/>
    <w:rsid w:val="00165B27"/>
    <w:rsid w:val="00173E7F"/>
    <w:rsid w:val="001938CE"/>
    <w:rsid w:val="001D01F6"/>
    <w:rsid w:val="001D43D2"/>
    <w:rsid w:val="00207233"/>
    <w:rsid w:val="00231F8A"/>
    <w:rsid w:val="00241F72"/>
    <w:rsid w:val="002454E7"/>
    <w:rsid w:val="00253CA8"/>
    <w:rsid w:val="00260FD0"/>
    <w:rsid w:val="002727C6"/>
    <w:rsid w:val="00282664"/>
    <w:rsid w:val="00294EF3"/>
    <w:rsid w:val="0029628C"/>
    <w:rsid w:val="002A0B04"/>
    <w:rsid w:val="002B62D9"/>
    <w:rsid w:val="002C20CA"/>
    <w:rsid w:val="002D43AA"/>
    <w:rsid w:val="002E2B9F"/>
    <w:rsid w:val="00303C8F"/>
    <w:rsid w:val="00306707"/>
    <w:rsid w:val="00310325"/>
    <w:rsid w:val="00322B2D"/>
    <w:rsid w:val="00335BB2"/>
    <w:rsid w:val="00352B7D"/>
    <w:rsid w:val="00372D04"/>
    <w:rsid w:val="0038412C"/>
    <w:rsid w:val="0039094F"/>
    <w:rsid w:val="003A4987"/>
    <w:rsid w:val="003B0F46"/>
    <w:rsid w:val="003F0FE4"/>
    <w:rsid w:val="003F4C56"/>
    <w:rsid w:val="003F5CF9"/>
    <w:rsid w:val="0040259D"/>
    <w:rsid w:val="0042647E"/>
    <w:rsid w:val="00427CE6"/>
    <w:rsid w:val="00433845"/>
    <w:rsid w:val="00445CBA"/>
    <w:rsid w:val="00454BC7"/>
    <w:rsid w:val="00463CF5"/>
    <w:rsid w:val="004765A3"/>
    <w:rsid w:val="0049358F"/>
    <w:rsid w:val="0049578C"/>
    <w:rsid w:val="0049699C"/>
    <w:rsid w:val="004B6B83"/>
    <w:rsid w:val="004C6746"/>
    <w:rsid w:val="004C6861"/>
    <w:rsid w:val="004D35BB"/>
    <w:rsid w:val="004D406E"/>
    <w:rsid w:val="004E15DA"/>
    <w:rsid w:val="00501235"/>
    <w:rsid w:val="00501806"/>
    <w:rsid w:val="0052239B"/>
    <w:rsid w:val="0053364B"/>
    <w:rsid w:val="005417A5"/>
    <w:rsid w:val="0055184A"/>
    <w:rsid w:val="00554278"/>
    <w:rsid w:val="0057503B"/>
    <w:rsid w:val="0057628A"/>
    <w:rsid w:val="00582F5F"/>
    <w:rsid w:val="005862D6"/>
    <w:rsid w:val="005B6D83"/>
    <w:rsid w:val="005C3655"/>
    <w:rsid w:val="005D3D05"/>
    <w:rsid w:val="005E1B0C"/>
    <w:rsid w:val="005E6259"/>
    <w:rsid w:val="005F4243"/>
    <w:rsid w:val="005F4642"/>
    <w:rsid w:val="0061760A"/>
    <w:rsid w:val="00627E87"/>
    <w:rsid w:val="00651AD8"/>
    <w:rsid w:val="006545DB"/>
    <w:rsid w:val="00655FD3"/>
    <w:rsid w:val="00657D14"/>
    <w:rsid w:val="00663054"/>
    <w:rsid w:val="00666790"/>
    <w:rsid w:val="0067571A"/>
    <w:rsid w:val="00676907"/>
    <w:rsid w:val="0068506B"/>
    <w:rsid w:val="0069252F"/>
    <w:rsid w:val="006D0C72"/>
    <w:rsid w:val="0070310B"/>
    <w:rsid w:val="007074F6"/>
    <w:rsid w:val="00730A8F"/>
    <w:rsid w:val="00743BB0"/>
    <w:rsid w:val="00752DB1"/>
    <w:rsid w:val="0076035D"/>
    <w:rsid w:val="00770740"/>
    <w:rsid w:val="0079259F"/>
    <w:rsid w:val="007B245D"/>
    <w:rsid w:val="007C77CF"/>
    <w:rsid w:val="007E0208"/>
    <w:rsid w:val="007E48EC"/>
    <w:rsid w:val="007E54F1"/>
    <w:rsid w:val="0081208B"/>
    <w:rsid w:val="008209C3"/>
    <w:rsid w:val="00832A7E"/>
    <w:rsid w:val="00837AA2"/>
    <w:rsid w:val="00850784"/>
    <w:rsid w:val="00872B6D"/>
    <w:rsid w:val="008912FD"/>
    <w:rsid w:val="008B2B90"/>
    <w:rsid w:val="008E09B3"/>
    <w:rsid w:val="008E12C1"/>
    <w:rsid w:val="008F4790"/>
    <w:rsid w:val="009079F8"/>
    <w:rsid w:val="00907E6D"/>
    <w:rsid w:val="009248B2"/>
    <w:rsid w:val="00925004"/>
    <w:rsid w:val="00935908"/>
    <w:rsid w:val="0094734E"/>
    <w:rsid w:val="00990F3D"/>
    <w:rsid w:val="00991479"/>
    <w:rsid w:val="0099410E"/>
    <w:rsid w:val="009A15CD"/>
    <w:rsid w:val="009A1863"/>
    <w:rsid w:val="009C2C76"/>
    <w:rsid w:val="009C544E"/>
    <w:rsid w:val="009D12B3"/>
    <w:rsid w:val="009D1C5A"/>
    <w:rsid w:val="009D6D69"/>
    <w:rsid w:val="00A20639"/>
    <w:rsid w:val="00A20D61"/>
    <w:rsid w:val="00A32E7E"/>
    <w:rsid w:val="00A41FEB"/>
    <w:rsid w:val="00A44629"/>
    <w:rsid w:val="00A46B6B"/>
    <w:rsid w:val="00A46E70"/>
    <w:rsid w:val="00A51941"/>
    <w:rsid w:val="00A63904"/>
    <w:rsid w:val="00A81C66"/>
    <w:rsid w:val="00A97503"/>
    <w:rsid w:val="00AB3B14"/>
    <w:rsid w:val="00AC1ED4"/>
    <w:rsid w:val="00AC4FB4"/>
    <w:rsid w:val="00AD3A33"/>
    <w:rsid w:val="00AE45F5"/>
    <w:rsid w:val="00AF1A9F"/>
    <w:rsid w:val="00B035C5"/>
    <w:rsid w:val="00B06925"/>
    <w:rsid w:val="00B14303"/>
    <w:rsid w:val="00B14D26"/>
    <w:rsid w:val="00B20B70"/>
    <w:rsid w:val="00B23321"/>
    <w:rsid w:val="00B23F6D"/>
    <w:rsid w:val="00B41CA5"/>
    <w:rsid w:val="00B62B07"/>
    <w:rsid w:val="00B9263B"/>
    <w:rsid w:val="00B97392"/>
    <w:rsid w:val="00BB291F"/>
    <w:rsid w:val="00BB5176"/>
    <w:rsid w:val="00BC7D68"/>
    <w:rsid w:val="00BD3AE7"/>
    <w:rsid w:val="00BE0CE7"/>
    <w:rsid w:val="00C0161B"/>
    <w:rsid w:val="00C12D1C"/>
    <w:rsid w:val="00C12E4B"/>
    <w:rsid w:val="00C4004E"/>
    <w:rsid w:val="00C40942"/>
    <w:rsid w:val="00C41CB3"/>
    <w:rsid w:val="00C6104B"/>
    <w:rsid w:val="00C65CDE"/>
    <w:rsid w:val="00C6622E"/>
    <w:rsid w:val="00C77E81"/>
    <w:rsid w:val="00CA5DA3"/>
    <w:rsid w:val="00CD063E"/>
    <w:rsid w:val="00CD58C4"/>
    <w:rsid w:val="00CE3324"/>
    <w:rsid w:val="00CF4F09"/>
    <w:rsid w:val="00D0433F"/>
    <w:rsid w:val="00D14E90"/>
    <w:rsid w:val="00D22FB7"/>
    <w:rsid w:val="00D27876"/>
    <w:rsid w:val="00D27E43"/>
    <w:rsid w:val="00D34751"/>
    <w:rsid w:val="00D37068"/>
    <w:rsid w:val="00D415F5"/>
    <w:rsid w:val="00D5027F"/>
    <w:rsid w:val="00D768CA"/>
    <w:rsid w:val="00D808C2"/>
    <w:rsid w:val="00D847C2"/>
    <w:rsid w:val="00D92A6B"/>
    <w:rsid w:val="00DA21BD"/>
    <w:rsid w:val="00DA6E74"/>
    <w:rsid w:val="00DA7646"/>
    <w:rsid w:val="00DD4221"/>
    <w:rsid w:val="00DD6C78"/>
    <w:rsid w:val="00E1617F"/>
    <w:rsid w:val="00E16A04"/>
    <w:rsid w:val="00E266CF"/>
    <w:rsid w:val="00E318BC"/>
    <w:rsid w:val="00E333D5"/>
    <w:rsid w:val="00E402BF"/>
    <w:rsid w:val="00E47E4A"/>
    <w:rsid w:val="00E62268"/>
    <w:rsid w:val="00E719AA"/>
    <w:rsid w:val="00E728DB"/>
    <w:rsid w:val="00E743A3"/>
    <w:rsid w:val="00E7638A"/>
    <w:rsid w:val="00E93B7E"/>
    <w:rsid w:val="00EA0B0A"/>
    <w:rsid w:val="00EC6F8C"/>
    <w:rsid w:val="00ED1ABE"/>
    <w:rsid w:val="00ED2DBB"/>
    <w:rsid w:val="00ED7EDB"/>
    <w:rsid w:val="00EE0DAB"/>
    <w:rsid w:val="00EE480F"/>
    <w:rsid w:val="00EE7DBF"/>
    <w:rsid w:val="00EF1619"/>
    <w:rsid w:val="00EF2029"/>
    <w:rsid w:val="00F04F97"/>
    <w:rsid w:val="00F1323A"/>
    <w:rsid w:val="00F13548"/>
    <w:rsid w:val="00F73D0E"/>
    <w:rsid w:val="00F8134E"/>
    <w:rsid w:val="00FC00DF"/>
    <w:rsid w:val="00FC2E44"/>
    <w:rsid w:val="00FD59F1"/>
    <w:rsid w:val="00FF0001"/>
    <w:rsid w:val="0357711C"/>
    <w:rsid w:val="0AD66AE0"/>
    <w:rsid w:val="10105430"/>
    <w:rsid w:val="13E744B7"/>
    <w:rsid w:val="19130E4D"/>
    <w:rsid w:val="226B4EEC"/>
    <w:rsid w:val="23031BB3"/>
    <w:rsid w:val="23BD404F"/>
    <w:rsid w:val="27282ED5"/>
    <w:rsid w:val="27F94D31"/>
    <w:rsid w:val="298F4F7D"/>
    <w:rsid w:val="38FE14F2"/>
    <w:rsid w:val="39C12F31"/>
    <w:rsid w:val="49555444"/>
    <w:rsid w:val="4B135D49"/>
    <w:rsid w:val="536F7A4A"/>
    <w:rsid w:val="5D211BAE"/>
    <w:rsid w:val="64022601"/>
    <w:rsid w:val="762B4765"/>
    <w:rsid w:val="77D00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paragraph" w:customStyle="1" w:styleId="10">
    <w:name w:val="小5报宋"/>
    <w:basedOn w:val="1"/>
    <w:qFormat/>
    <w:uiPriority w:val="0"/>
    <w:pPr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华文中宋" w:eastAsia="华文中宋" w:cs="华文中宋"/>
      <w:color w:val="000000"/>
      <w:kern w:val="0"/>
      <w:sz w:val="18"/>
      <w:szCs w:val="18"/>
      <w:lang w:val="zh-CN"/>
    </w:rPr>
  </w:style>
  <w:style w:type="paragraph" w:customStyle="1" w:styleId="11">
    <w:name w:val="小5报宋缩进8mm"/>
    <w:basedOn w:val="10"/>
    <w:qFormat/>
    <w:uiPriority w:val="0"/>
    <w:pPr>
      <w:ind w:left="340" w:hanging="340"/>
    </w:p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3</Pages>
  <Words>967</Words>
  <Characters>1350</Characters>
  <Lines>11</Lines>
  <Paragraphs>3</Paragraphs>
  <TotalTime>3</TotalTime>
  <ScaleCrop>false</ScaleCrop>
  <LinksUpToDate>false</LinksUpToDate>
  <CharactersWithSpaces>1389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2022-07-15T03:23:00Z</dcterms:created>
  <dc:creator>user</dc:creator>
  <cp:lastModifiedBy>WPS_1669800197</cp:lastModifiedBy>
  <cp:lastPrinted>2019-07-19T06:29:00Z</cp:lastPrinted>
  <dcterms:modified xsi:type="dcterms:W3CDTF">2022-12-26T07:27:21Z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FF821D81AEF147489226BA573BFC9608</vt:lpwstr>
  </property>
</Properties>
</file>