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877"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17"/>
        <w:gridCol w:w="384"/>
        <w:gridCol w:w="4516"/>
        <w:gridCol w:w="3225"/>
        <w:gridCol w:w="13"/>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1" w:type="dxa"/>
          <w:trHeight w:val="1246" w:hRule="atLeast"/>
        </w:trPr>
        <w:tc>
          <w:tcPr>
            <w:tcW w:w="2161" w:type="dxa"/>
            <w:vMerge w:val="restart"/>
            <w:tcBorders>
              <w:top w:val="nil"/>
              <w:left w:val="nil"/>
              <w:right w:val="single" w:color="auto" w:sz="4" w:space="0"/>
            </w:tcBorders>
            <w:shd w:val="clear" w:color="auto" w:fill="auto"/>
            <w:textDirection w:val="tbRlV"/>
            <w:vAlign w:val="center"/>
          </w:tcPr>
          <w:p>
            <w:pPr>
              <w:ind w:left="113" w:right="113"/>
              <w:rPr>
                <w:rFonts w:ascii="华文中宋" w:hAnsi="华文中宋" w:eastAsia="华文中宋"/>
                <w:b/>
                <w:sz w:val="52"/>
                <w:szCs w:val="52"/>
              </w:rPr>
            </w:pPr>
            <w:r>
              <w:rPr>
                <w:rFonts w:hint="eastAsia" w:ascii="华文中宋" w:hAnsi="华文中宋" w:eastAsia="华文中宋"/>
                <w:b/>
                <w:sz w:val="52"/>
                <w:szCs w:val="52"/>
              </w:rPr>
              <w:t>天净沙系列</w:t>
            </w:r>
          </w:p>
        </w:tc>
        <w:tc>
          <w:tcPr>
            <w:tcW w:w="4917" w:type="dxa"/>
            <w:gridSpan w:val="3"/>
            <w:tcBorders>
              <w:top w:val="nil"/>
              <w:left w:val="single" w:color="auto" w:sz="4" w:space="0"/>
              <w:bottom w:val="nil"/>
              <w:right w:val="nil"/>
            </w:tcBorders>
            <w:shd w:val="clear" w:color="auto" w:fill="auto"/>
            <w:vAlign w:val="center"/>
          </w:tcPr>
          <w:p>
            <w:pPr>
              <w:spacing w:line="400" w:lineRule="exact"/>
              <w:rPr>
                <w:rFonts w:ascii="华文中宋" w:hAnsi="华文中宋" w:eastAsia="华文中宋"/>
                <w:b/>
                <w:sz w:val="28"/>
                <w:szCs w:val="28"/>
              </w:rPr>
            </w:pPr>
            <w:r>
              <w:rPr>
                <w:rFonts w:hint="eastAsia" w:ascii="华文中宋" w:hAnsi="华文中宋" w:eastAsia="华文中宋"/>
                <w:b/>
                <w:sz w:val="28"/>
                <w:szCs w:val="28"/>
              </w:rPr>
              <w:t>CAT#:</w:t>
            </w:r>
            <w:r>
              <w:rPr>
                <w:rFonts w:ascii="华文中宋" w:hAnsi="华文中宋" w:eastAsia="华文中宋"/>
                <w:b/>
                <w:sz w:val="28"/>
                <w:szCs w:val="28"/>
              </w:rPr>
              <w:t>1</w:t>
            </w:r>
            <w:r>
              <w:rPr>
                <w:rFonts w:hint="eastAsia" w:ascii="华文中宋" w:hAnsi="华文中宋" w:eastAsia="华文中宋"/>
                <w:b/>
                <w:sz w:val="28"/>
                <w:szCs w:val="28"/>
              </w:rPr>
              <w:t>5</w:t>
            </w:r>
            <w:r>
              <w:rPr>
                <w:rFonts w:ascii="华文中宋" w:hAnsi="华文中宋" w:eastAsia="华文中宋"/>
                <w:b/>
                <w:sz w:val="28"/>
                <w:szCs w:val="28"/>
              </w:rPr>
              <w:t>-87800</w:t>
            </w:r>
          </w:p>
          <w:p>
            <w:pPr>
              <w:spacing w:line="400" w:lineRule="exact"/>
              <w:rPr>
                <w:rFonts w:ascii="华文中宋" w:hAnsi="华文中宋" w:eastAsia="华文中宋"/>
                <w:b/>
                <w:sz w:val="52"/>
                <w:szCs w:val="52"/>
              </w:rPr>
            </w:pPr>
            <w:r>
              <w:rPr>
                <w:rFonts w:hint="eastAsia" w:ascii="华文中宋" w:hAnsi="华文中宋" w:eastAsia="华文中宋"/>
                <w:b/>
                <w:sz w:val="28"/>
                <w:szCs w:val="28"/>
              </w:rPr>
              <w:t>低温</w:t>
            </w:r>
            <w:r>
              <w:rPr>
                <w:rFonts w:ascii="华文中宋" w:hAnsi="华文中宋" w:eastAsia="华文中宋"/>
                <w:b/>
                <w:sz w:val="28"/>
                <w:szCs w:val="28"/>
              </w:rPr>
              <w:t>运输</w:t>
            </w:r>
            <w:r>
              <w:rPr>
                <w:rFonts w:hint="eastAsia" w:ascii="华文中宋" w:hAnsi="华文中宋" w:eastAsia="华文中宋"/>
                <w:b/>
                <w:sz w:val="28"/>
                <w:szCs w:val="28"/>
              </w:rPr>
              <w:t>，-20</w:t>
            </w:r>
            <w:r>
              <w:rPr>
                <w:rFonts w:ascii="华文中宋" w:hAnsi="华文中宋" w:eastAsia="华文中宋"/>
                <w:b/>
                <w:sz w:val="28"/>
                <w:szCs w:val="28"/>
              </w:rPr>
              <w:t>℃保存</w:t>
            </w:r>
          </w:p>
        </w:tc>
        <w:tc>
          <w:tcPr>
            <w:tcW w:w="3238" w:type="dxa"/>
            <w:gridSpan w:val="2"/>
            <w:tcBorders>
              <w:top w:val="nil"/>
              <w:left w:val="nil"/>
              <w:bottom w:val="nil"/>
              <w:right w:val="nil"/>
            </w:tcBorders>
            <w:shd w:val="clear" w:color="auto" w:fill="auto"/>
            <w:vAlign w:val="center"/>
          </w:tcPr>
          <w:p>
            <w:pPr>
              <w:spacing w:line="720" w:lineRule="auto"/>
              <w:jc w:val="right"/>
              <w:rPr>
                <w:rFonts w:ascii="华文中宋" w:hAnsi="华文中宋" w:eastAsia="华文中宋"/>
                <w:b/>
                <w:i/>
                <w:sz w:val="52"/>
                <w:szCs w:val="52"/>
              </w:rPr>
            </w:pPr>
            <w:r>
              <w:pict>
                <v:shape id="_x0000_i1025" o:spt="75" type="#_x0000_t75" style="height:33pt;width:121.8pt;" filled="f" o:preferrelative="t" stroked="f" coordsize="21600,21600">
                  <v:path/>
                  <v:fill on="f" focussize="0,0"/>
                  <v:stroke on="f" joinstyle="miter"/>
                  <v:imagedata r:id="rId6" o:title=""/>
                  <o:lock v:ext="edit"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1" w:type="dxa"/>
          <w:trHeight w:val="3716" w:hRule="atLeast"/>
        </w:trPr>
        <w:tc>
          <w:tcPr>
            <w:tcW w:w="2161" w:type="dxa"/>
            <w:vMerge w:val="continue"/>
            <w:tcBorders>
              <w:left w:val="nil"/>
              <w:right w:val="single" w:color="auto" w:sz="4" w:space="0"/>
            </w:tcBorders>
            <w:shd w:val="clear" w:color="auto" w:fill="auto"/>
          </w:tcPr>
          <w:p>
            <w:pPr>
              <w:jc w:val="center"/>
              <w:rPr>
                <w:rFonts w:ascii="华文中宋" w:hAnsi="华文中宋" w:eastAsia="华文中宋"/>
              </w:rPr>
            </w:pPr>
          </w:p>
        </w:tc>
        <w:tc>
          <w:tcPr>
            <w:tcW w:w="8155" w:type="dxa"/>
            <w:gridSpan w:val="5"/>
            <w:tcBorders>
              <w:top w:val="nil"/>
              <w:left w:val="single" w:color="auto" w:sz="4" w:space="0"/>
              <w:bottom w:val="single" w:color="auto" w:sz="4" w:space="0"/>
              <w:right w:val="nil"/>
            </w:tcBorders>
            <w:shd w:val="clear" w:color="auto" w:fill="auto"/>
          </w:tcPr>
          <w:p>
            <w:pPr>
              <w:spacing w:line="180" w:lineRule="exact"/>
              <w:jc w:val="left"/>
              <w:rPr>
                <w:rFonts w:ascii="华文中宋" w:hAnsi="华文中宋" w:eastAsia="华文中宋"/>
                <w:b/>
                <w:sz w:val="52"/>
                <w:szCs w:val="52"/>
              </w:rPr>
            </w:pPr>
          </w:p>
          <w:p>
            <w:pPr>
              <w:spacing w:line="180" w:lineRule="exact"/>
              <w:jc w:val="left"/>
              <w:rPr>
                <w:rFonts w:ascii="华文中宋" w:hAnsi="华文中宋" w:eastAsia="华文中宋"/>
                <w:b/>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sz w:val="52"/>
                <w:szCs w:val="52"/>
              </w:rPr>
            </w:pPr>
          </w:p>
          <w:p>
            <w:pPr>
              <w:spacing w:line="180" w:lineRule="exact"/>
              <w:jc w:val="left"/>
              <w:rPr>
                <w:rFonts w:ascii="华文中宋" w:hAnsi="华文中宋" w:eastAsia="华文中宋"/>
                <w:b/>
                <w:sz w:val="84"/>
                <w:szCs w:val="84"/>
              </w:rPr>
            </w:pPr>
          </w:p>
          <w:p>
            <w:pPr>
              <w:spacing w:line="220" w:lineRule="atLeast"/>
              <w:jc w:val="left"/>
              <w:rPr>
                <w:rFonts w:ascii="华文中宋" w:hAnsi="华文中宋" w:eastAsia="华文中宋"/>
                <w:b/>
                <w:sz w:val="32"/>
                <w:szCs w:val="32"/>
              </w:rPr>
            </w:pPr>
            <w:r>
              <w:rPr>
                <w:rFonts w:hint="eastAsia" w:ascii="华文中宋" w:hAnsi="华文中宋" w:eastAsia="华文中宋"/>
                <w:b/>
                <w:sz w:val="32"/>
                <w:szCs w:val="32"/>
              </w:rPr>
              <w:t>人类嗜T淋巴细胞病毒通用探针法qR</w:t>
            </w:r>
            <w:r>
              <w:rPr>
                <w:rFonts w:ascii="华文中宋" w:hAnsi="华文中宋" w:eastAsia="华文中宋"/>
                <w:b/>
                <w:sz w:val="32"/>
                <w:szCs w:val="32"/>
              </w:rPr>
              <w:t>T-</w:t>
            </w:r>
            <w:r>
              <w:rPr>
                <w:rFonts w:hint="eastAsia" w:ascii="华文中宋" w:hAnsi="华文中宋" w:eastAsia="华文中宋"/>
                <w:b/>
                <w:sz w:val="32"/>
                <w:szCs w:val="32"/>
              </w:rPr>
              <w:t>PCR试剂盒</w:t>
            </w:r>
          </w:p>
          <w:p>
            <w:pPr>
              <w:ind w:right="126" w:rightChars="60"/>
              <w:jc w:val="left"/>
              <w:rPr>
                <w:rFonts w:ascii="华文中宋" w:hAnsi="华文中宋" w:eastAsia="华文中宋"/>
                <w:b/>
                <w:bCs/>
                <w:color w:val="FF0000"/>
                <w:sz w:val="30"/>
                <w:szCs w:val="30"/>
              </w:rPr>
            </w:pPr>
            <w:r>
              <w:rPr>
                <w:rFonts w:hint="eastAsia" w:ascii="华文中宋" w:hAnsi="华文中宋" w:eastAsia="华文中宋"/>
                <w:b/>
                <w:sz w:val="30"/>
                <w:szCs w:val="30"/>
              </w:rPr>
              <w:t>Human T-cell Lymphoma Virus Probe</w:t>
            </w:r>
            <w:r>
              <w:rPr>
                <w:rFonts w:ascii="华文中宋" w:hAnsi="华文中宋" w:eastAsia="华文中宋"/>
                <w:b/>
                <w:sz w:val="30"/>
                <w:szCs w:val="30"/>
              </w:rPr>
              <w:t xml:space="preserve"> </w:t>
            </w:r>
            <w:r>
              <w:rPr>
                <w:rFonts w:hint="eastAsia" w:ascii="华文中宋" w:hAnsi="华文中宋" w:eastAsia="华文中宋"/>
                <w:b/>
                <w:sz w:val="30"/>
                <w:szCs w:val="30"/>
              </w:rPr>
              <w:t>q</w:t>
            </w:r>
            <w:r>
              <w:rPr>
                <w:rFonts w:ascii="华文中宋" w:hAnsi="华文中宋" w:eastAsia="华文中宋"/>
                <w:b/>
                <w:sz w:val="30"/>
                <w:szCs w:val="30"/>
              </w:rPr>
              <w:t>RT-PCR</w:t>
            </w:r>
            <w:r>
              <w:rPr>
                <w:rFonts w:hint="eastAsia" w:ascii="华文中宋" w:hAnsi="华文中宋" w:eastAsia="华文中宋"/>
                <w:b/>
                <w:sz w:val="30"/>
                <w:szCs w:val="30"/>
              </w:rPr>
              <w:t xml:space="preserve"> Kit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1" w:type="dxa"/>
          <w:trHeight w:val="5626" w:hRule="atLeast"/>
        </w:trPr>
        <w:tc>
          <w:tcPr>
            <w:tcW w:w="2161" w:type="dxa"/>
            <w:vMerge w:val="continue"/>
            <w:tcBorders>
              <w:left w:val="nil"/>
              <w:bottom w:val="single" w:color="auto" w:sz="4" w:space="0"/>
              <w:right w:val="single" w:color="auto" w:sz="4" w:space="0"/>
            </w:tcBorders>
            <w:shd w:val="clear" w:color="auto" w:fill="auto"/>
          </w:tcPr>
          <w:p>
            <w:pPr>
              <w:jc w:val="center"/>
              <w:rPr>
                <w:rFonts w:ascii="华文中宋" w:hAnsi="华文中宋" w:eastAsia="华文中宋"/>
                <w:b/>
                <w:sz w:val="72"/>
                <w:szCs w:val="72"/>
              </w:rPr>
            </w:pPr>
          </w:p>
        </w:tc>
        <w:tc>
          <w:tcPr>
            <w:tcW w:w="8155" w:type="dxa"/>
            <w:gridSpan w:val="5"/>
            <w:tcBorders>
              <w:top w:val="single" w:color="auto" w:sz="4" w:space="0"/>
              <w:left w:val="single" w:color="auto" w:sz="4" w:space="0"/>
              <w:bottom w:val="single" w:color="auto" w:sz="4" w:space="0"/>
              <w:right w:val="nil"/>
            </w:tcBorders>
            <w:shd w:val="clear" w:color="auto" w:fill="auto"/>
          </w:tcPr>
          <w:p>
            <w:pPr>
              <w:spacing w:line="720" w:lineRule="auto"/>
              <w:jc w:val="right"/>
              <w:rPr>
                <w:rFonts w:ascii="华文中宋" w:hAnsi="华文中宋" w:eastAsia="华文中宋"/>
                <w:b/>
                <w:sz w:val="44"/>
                <w:szCs w:val="44"/>
              </w:rPr>
            </w:pPr>
            <w:r>
              <w:rPr>
                <w:rFonts w:hint="eastAsia" w:ascii="华文中宋" w:hAnsi="华文中宋" w:eastAsia="华文中宋"/>
                <w:b/>
                <w:sz w:val="44"/>
                <w:szCs w:val="44"/>
              </w:rPr>
              <w:t>使用手册V1.</w:t>
            </w:r>
            <w:r>
              <w:rPr>
                <w:rFonts w:ascii="华文中宋" w:hAnsi="华文中宋" w:eastAsia="华文中宋"/>
                <w:b/>
                <w:sz w:val="44"/>
                <w:szCs w:val="44"/>
              </w:rPr>
              <w:t>0</w:t>
            </w: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hint="eastAsia"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p>
            <w:pPr>
              <w:spacing w:line="200" w:lineRule="exact"/>
              <w:rPr>
                <w:rFonts w:ascii="华文中宋" w:hAnsi="华文中宋" w:eastAsia="华文中宋"/>
                <w:b/>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1" w:type="dxa"/>
          <w:trHeight w:val="1553" w:hRule="atLeast"/>
        </w:trPr>
        <w:tc>
          <w:tcPr>
            <w:tcW w:w="10316" w:type="dxa"/>
            <w:gridSpan w:val="6"/>
            <w:tcBorders>
              <w:top w:val="single" w:color="auto" w:sz="4" w:space="0"/>
              <w:left w:val="nil"/>
              <w:bottom w:val="nil"/>
              <w:right w:val="nil"/>
            </w:tcBorders>
            <w:shd w:val="clear" w:color="auto" w:fill="auto"/>
          </w:tcPr>
          <w:p>
            <w:pPr>
              <w:spacing w:line="560" w:lineRule="exact"/>
              <w:jc w:val="center"/>
              <w:rPr>
                <w:rFonts w:ascii="华文中宋" w:hAnsi="华文中宋" w:eastAsia="华文中宋"/>
                <w:b/>
                <w:sz w:val="30"/>
                <w:szCs w:val="30"/>
              </w:rPr>
            </w:pPr>
            <w:r>
              <w:rPr>
                <w:rFonts w:hint="eastAsia" w:ascii="华文中宋" w:hAnsi="华文中宋" w:eastAsia="华文中宋"/>
                <w:b/>
                <w:sz w:val="30"/>
                <w:szCs w:val="30"/>
              </w:rPr>
              <w:t>江苏天净沙基因诊断技术有限公司</w:t>
            </w:r>
          </w:p>
          <w:p>
            <w:pPr>
              <w:spacing w:line="560" w:lineRule="exact"/>
              <w:jc w:val="center"/>
              <w:rPr>
                <w:rFonts w:ascii="华文中宋" w:hAnsi="华文中宋" w:eastAsia="华文中宋"/>
                <w:b/>
                <w:sz w:val="28"/>
                <w:szCs w:val="28"/>
              </w:rPr>
            </w:pPr>
            <w:r>
              <w:rPr>
                <w:rFonts w:hint="eastAsia" w:ascii="华文中宋" w:hAnsi="华文中宋" w:eastAsia="华文中宋"/>
                <w:b/>
                <w:sz w:val="28"/>
                <w:szCs w:val="28"/>
              </w:rPr>
              <w:t>网址：</w:t>
            </w:r>
            <w:r>
              <w:fldChar w:fldCharType="begin"/>
            </w:r>
            <w:r>
              <w:instrText xml:space="preserve"> HYPERLINK "http://www.bingene.com" </w:instrText>
            </w:r>
            <w:r>
              <w:fldChar w:fldCharType="separate"/>
            </w:r>
            <w:r>
              <w:rPr>
                <w:rFonts w:hint="eastAsia" w:ascii="华文中宋" w:hAnsi="华文中宋" w:eastAsia="华文中宋"/>
                <w:b/>
                <w:sz w:val="28"/>
                <w:szCs w:val="28"/>
              </w:rPr>
              <w:t>www.bingene.com</w:t>
            </w:r>
            <w:r>
              <w:rPr>
                <w:rFonts w:ascii="华文中宋" w:hAnsi="华文中宋" w:eastAsia="华文中宋"/>
                <w:b/>
                <w:sz w:val="28"/>
                <w:szCs w:val="28"/>
              </w:rPr>
              <w:fldChar w:fldCharType="end"/>
            </w:r>
            <w:r>
              <w:rPr>
                <w:rFonts w:hint="eastAsia" w:ascii="华文中宋" w:hAnsi="华文中宋" w:eastAsia="华文中宋"/>
                <w:b/>
                <w:sz w:val="28"/>
                <w:szCs w:val="28"/>
              </w:rPr>
              <w:t>；电话：400-</w:t>
            </w:r>
            <w:r>
              <w:rPr>
                <w:rFonts w:ascii="华文中宋" w:hAnsi="华文中宋" w:eastAsia="华文中宋"/>
                <w:b/>
                <w:sz w:val="28"/>
                <w:szCs w:val="28"/>
              </w:rPr>
              <w:t>6005850</w:t>
            </w:r>
            <w:r>
              <w:rPr>
                <w:rFonts w:hint="eastAsia" w:ascii="华文中宋" w:hAnsi="华文中宋" w:eastAsia="华文中宋"/>
                <w:b/>
                <w:sz w:val="28"/>
                <w:szCs w:val="28"/>
              </w:rPr>
              <w:t>；电邮：order@bingene.com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2"/>
          <w:wAfter w:w="574" w:type="dxa"/>
          <w:trHeight w:val="570" w:hRule="atLeast"/>
        </w:trPr>
        <w:tc>
          <w:tcPr>
            <w:tcW w:w="2178" w:type="dxa"/>
            <w:gridSpan w:val="2"/>
            <w:shd w:val="clear" w:color="auto" w:fill="auto"/>
          </w:tcPr>
          <w:p>
            <w:pPr>
              <w:spacing w:line="360" w:lineRule="auto"/>
              <w:jc w:val="right"/>
              <w:rPr>
                <w:rFonts w:ascii="华文中宋" w:hAnsi="华文中宋" w:eastAsia="华文中宋"/>
                <w:b/>
                <w:sz w:val="28"/>
                <w:szCs w:val="28"/>
              </w:rPr>
            </w:pPr>
            <w:r>
              <w:rPr>
                <w:rFonts w:hint="eastAsia" w:ascii="华文中宋" w:hAnsi="华文中宋" w:eastAsia="华文中宋"/>
                <w:b/>
                <w:sz w:val="28"/>
                <w:szCs w:val="28"/>
              </w:rPr>
              <w:t>产品及特点</w:t>
            </w:r>
          </w:p>
        </w:tc>
        <w:tc>
          <w:tcPr>
            <w:tcW w:w="8125" w:type="dxa"/>
            <w:gridSpan w:val="3"/>
            <w:shd w:val="clear" w:color="auto" w:fill="auto"/>
          </w:tcPr>
          <w:p>
            <w:pPr>
              <w:spacing w:line="360" w:lineRule="auto"/>
              <w:ind w:firstLine="420" w:firstLineChars="200"/>
              <w:rPr>
                <w:rFonts w:ascii="华文中宋" w:hAnsi="华文中宋" w:eastAsia="华文中宋" w:cs="Arial"/>
                <w:color w:val="000000"/>
                <w:kern w:val="0"/>
                <w:szCs w:val="21"/>
                <w:shd w:val="clear" w:color="auto" w:fill="FFFFFF"/>
              </w:rPr>
            </w:pPr>
            <w:r>
              <w:rPr>
                <w:rFonts w:hint="eastAsia" w:ascii="华文中宋" w:hAnsi="华文中宋" w:eastAsia="华文中宋" w:cs="Arial"/>
                <w:color w:val="000000"/>
                <w:kern w:val="0"/>
                <w:szCs w:val="21"/>
                <w:shd w:val="clear" w:color="auto" w:fill="FFFFFF"/>
              </w:rPr>
              <w:t>人类嗜T淋巴细胞病毒前病毒</w:t>
            </w:r>
            <w:r>
              <w:rPr>
                <w:rFonts w:ascii="华文中宋" w:hAnsi="华文中宋" w:eastAsia="华文中宋" w:cs="Arial"/>
                <w:color w:val="000000"/>
                <w:kern w:val="0"/>
                <w:szCs w:val="21"/>
                <w:shd w:val="clear" w:color="auto" w:fill="FFFFFF"/>
              </w:rPr>
              <w:t xml:space="preserve">(Human T-cell Lymphoma Virus Provirus </w:t>
            </w:r>
            <w:r>
              <w:rPr>
                <w:rFonts w:hint="eastAsia" w:ascii="华文中宋" w:hAnsi="华文中宋" w:eastAsia="华文中宋" w:cs="Arial"/>
                <w:color w:val="000000"/>
                <w:kern w:val="0"/>
                <w:szCs w:val="21"/>
                <w:shd w:val="clear" w:color="auto" w:fill="FFFFFF"/>
              </w:rPr>
              <w:t>，</w:t>
            </w:r>
            <w:r>
              <w:rPr>
                <w:rFonts w:ascii="华文中宋" w:hAnsi="华文中宋" w:eastAsia="华文中宋" w:cs="Arial"/>
                <w:color w:val="000000"/>
                <w:kern w:val="0"/>
                <w:szCs w:val="21"/>
                <w:shd w:val="clear" w:color="auto" w:fill="FFFFFF"/>
              </w:rPr>
              <w:t>HTLV)</w:t>
            </w:r>
            <w:r>
              <w:rPr>
                <w:rFonts w:hint="eastAsia" w:ascii="华文中宋" w:hAnsi="华文中宋" w:eastAsia="华文中宋" w:cs="Arial"/>
                <w:color w:val="000000"/>
                <w:kern w:val="0"/>
                <w:szCs w:val="21"/>
                <w:shd w:val="clear" w:color="auto" w:fill="FFFFFF"/>
              </w:rPr>
              <w:t xml:space="preserve"> 是一种致瘤性病毒，现该病毒可引起人类多种疾病，如成人T细胞白血病/淋巴瘤（ATL）、热带痉挛性截瘫/HTLV 相关性脊髓病等；HTLV-Ⅱ与 T-多毛细胞/巨粒细胞白血病等疾病相关，至今尚无有效治疗方法及抗病毒药物，因此对人类嗜 T 淋巴细胞病毒的快速准确鉴定对该病的预防和检疫有着重要作用。本产品就是以探针法荧光定量 RT-PCR 技术为基础开发的专门检测人类嗜 T 淋巴细胞病毒的试剂盒，它具有下列特点：</w:t>
            </w:r>
          </w:p>
          <w:p>
            <w:pPr>
              <w:numPr>
                <w:ilvl w:val="0"/>
                <w:numId w:val="1"/>
              </w:numPr>
              <w:spacing w:line="360" w:lineRule="auto"/>
              <w:rPr>
                <w:rFonts w:ascii="华文中宋" w:hAnsi="华文中宋" w:eastAsia="华文中宋"/>
                <w:szCs w:val="21"/>
              </w:rPr>
            </w:pPr>
            <w:r>
              <w:rPr>
                <w:rFonts w:hint="eastAsia" w:ascii="华文中宋" w:hAnsi="华文中宋" w:eastAsia="华文中宋"/>
                <w:szCs w:val="21"/>
              </w:rPr>
              <w:t>即开即用，用户只需要提供样品</w:t>
            </w:r>
            <w:r>
              <w:rPr>
                <w:rFonts w:ascii="华文中宋" w:hAnsi="华文中宋" w:eastAsia="华文中宋"/>
                <w:szCs w:val="21"/>
              </w:rPr>
              <w:t>RNA</w:t>
            </w:r>
            <w:r>
              <w:rPr>
                <w:rFonts w:hint="eastAsia" w:ascii="华文中宋" w:hAnsi="华文中宋" w:eastAsia="华文中宋"/>
                <w:szCs w:val="21"/>
              </w:rPr>
              <w:t>模板。</w:t>
            </w:r>
          </w:p>
          <w:p>
            <w:pPr>
              <w:numPr>
                <w:ilvl w:val="0"/>
                <w:numId w:val="1"/>
              </w:numPr>
              <w:spacing w:line="360" w:lineRule="auto"/>
              <w:rPr>
                <w:rFonts w:ascii="华文中宋" w:hAnsi="华文中宋" w:eastAsia="华文中宋"/>
                <w:szCs w:val="21"/>
              </w:rPr>
            </w:pPr>
            <w:r>
              <w:rPr>
                <w:rFonts w:hint="eastAsia" w:ascii="华文中宋" w:hAnsi="华文中宋" w:eastAsia="华文中宋"/>
                <w:szCs w:val="21"/>
              </w:rPr>
              <w:t>特异性高，引物是根据人类嗜T淋巴细胞病毒高度保守区设计，不会跟其它</w:t>
            </w:r>
            <w:r>
              <w:rPr>
                <w:rFonts w:ascii="华文中宋" w:hAnsi="华文中宋" w:eastAsia="华文中宋"/>
                <w:szCs w:val="21"/>
              </w:rPr>
              <w:t>病毒</w:t>
            </w:r>
            <w:r>
              <w:rPr>
                <w:rFonts w:hint="eastAsia" w:ascii="华文中宋" w:hAnsi="华文中宋" w:eastAsia="华文中宋"/>
                <w:szCs w:val="21"/>
              </w:rPr>
              <w:t>的R</w:t>
            </w:r>
            <w:r>
              <w:rPr>
                <w:rFonts w:ascii="华文中宋" w:hAnsi="华文中宋" w:eastAsia="华文中宋"/>
                <w:szCs w:val="21"/>
              </w:rPr>
              <w:t>NA</w:t>
            </w:r>
            <w:r>
              <w:rPr>
                <w:rFonts w:hint="eastAsia" w:ascii="华文中宋" w:hAnsi="华文中宋" w:eastAsia="华文中宋"/>
                <w:szCs w:val="21"/>
              </w:rPr>
              <w:t>发生交叉反应</w:t>
            </w:r>
            <w:r>
              <w:rPr>
                <w:rFonts w:ascii="华文中宋" w:hAnsi="华文中宋" w:eastAsia="华文中宋"/>
                <w:bCs/>
                <w:szCs w:val="21"/>
              </w:rPr>
              <w:t>。</w:t>
            </w:r>
          </w:p>
          <w:p>
            <w:pPr>
              <w:numPr>
                <w:ilvl w:val="0"/>
                <w:numId w:val="1"/>
              </w:numPr>
              <w:spacing w:line="360" w:lineRule="auto"/>
              <w:rPr>
                <w:rFonts w:ascii="华文中宋" w:hAnsi="华文中宋" w:eastAsia="华文中宋"/>
                <w:szCs w:val="21"/>
              </w:rPr>
            </w:pPr>
            <w:r>
              <w:rPr>
                <w:rFonts w:hint="eastAsia" w:ascii="华文中宋" w:hAnsi="华文中宋" w:eastAsia="华文中宋"/>
                <w:bCs/>
                <w:szCs w:val="21"/>
              </w:rPr>
              <w:t>引物和探针经过优化，灵敏度高。</w:t>
            </w:r>
          </w:p>
          <w:p>
            <w:pPr>
              <w:numPr>
                <w:ilvl w:val="0"/>
                <w:numId w:val="1"/>
              </w:numPr>
              <w:spacing w:line="360" w:lineRule="auto"/>
              <w:rPr>
                <w:rFonts w:ascii="华文中宋" w:hAnsi="华文中宋" w:eastAsia="华文中宋"/>
                <w:szCs w:val="21"/>
              </w:rPr>
            </w:pPr>
            <w:r>
              <w:rPr>
                <w:rFonts w:hint="eastAsia" w:ascii="华文中宋" w:hAnsi="华文中宋" w:eastAsia="华文中宋"/>
                <w:bCs/>
                <w:szCs w:val="21"/>
              </w:rPr>
              <w:t>可以检测1型和2型的H</w:t>
            </w:r>
            <w:r>
              <w:rPr>
                <w:rFonts w:ascii="华文中宋" w:hAnsi="华文中宋" w:eastAsia="华文中宋"/>
                <w:bCs/>
                <w:szCs w:val="21"/>
              </w:rPr>
              <w:t>TLV</w:t>
            </w:r>
            <w:r>
              <w:rPr>
                <w:rFonts w:hint="eastAsia" w:ascii="华文中宋" w:hAnsi="华文中宋" w:eastAsia="华文中宋"/>
                <w:bCs/>
                <w:szCs w:val="21"/>
              </w:rPr>
              <w:t>病毒。</w:t>
            </w:r>
          </w:p>
          <w:p>
            <w:pPr>
              <w:numPr>
                <w:ilvl w:val="0"/>
                <w:numId w:val="1"/>
              </w:numPr>
              <w:spacing w:line="360" w:lineRule="auto"/>
              <w:rPr>
                <w:rFonts w:ascii="华文中宋" w:hAnsi="华文中宋" w:eastAsia="华文中宋"/>
                <w:szCs w:val="21"/>
              </w:rPr>
            </w:pPr>
            <w:r>
              <w:rPr>
                <w:rFonts w:hint="eastAsia" w:ascii="华文中宋" w:hAnsi="华文中宋" w:eastAsia="华文中宋"/>
                <w:szCs w:val="21"/>
              </w:rPr>
              <w:t>一管式荧光定量RT-PCR检测，避免后续</w:t>
            </w:r>
            <w:r>
              <w:rPr>
                <w:rFonts w:ascii="华文中宋" w:hAnsi="华文中宋" w:eastAsia="华文中宋"/>
                <w:szCs w:val="21"/>
              </w:rPr>
              <w:t>污染</w:t>
            </w:r>
            <w:r>
              <w:rPr>
                <w:rFonts w:hint="eastAsia" w:ascii="华文中宋" w:hAnsi="华文中宋" w:eastAsia="华文中宋"/>
                <w:szCs w:val="21"/>
              </w:rPr>
              <w:t>。</w:t>
            </w:r>
          </w:p>
          <w:p>
            <w:pPr>
              <w:numPr>
                <w:ilvl w:val="0"/>
                <w:numId w:val="1"/>
              </w:numPr>
              <w:spacing w:line="360" w:lineRule="auto"/>
              <w:rPr>
                <w:rFonts w:ascii="华文中宋" w:hAnsi="华文中宋" w:eastAsia="华文中宋"/>
                <w:szCs w:val="21"/>
              </w:rPr>
            </w:pPr>
            <w:r>
              <w:rPr>
                <w:rFonts w:hint="eastAsia" w:ascii="华文中宋" w:hAnsi="华文中宋" w:eastAsia="华文中宋"/>
                <w:szCs w:val="21"/>
              </w:rPr>
              <w:t>既可以用于定性检测，又可以用于定量检测，用于定量检测时其线性范围至少有5个数量级。</w:t>
            </w:r>
          </w:p>
          <w:p>
            <w:pPr>
              <w:numPr>
                <w:ilvl w:val="0"/>
                <w:numId w:val="1"/>
              </w:numPr>
              <w:spacing w:line="360" w:lineRule="auto"/>
              <w:rPr>
                <w:rFonts w:ascii="华文中宋" w:hAnsi="华文中宋" w:eastAsia="华文中宋"/>
                <w:szCs w:val="21"/>
              </w:rPr>
            </w:pPr>
            <w:r>
              <w:rPr>
                <w:rFonts w:hint="eastAsia" w:ascii="华文中宋" w:hAnsi="华文中宋" w:eastAsia="华文中宋"/>
                <w:szCs w:val="21"/>
              </w:rPr>
              <w:t>本试剂盒足够50次20</w:t>
            </w:r>
            <w:r>
              <w:rPr>
                <w:rFonts w:ascii="华文中宋" w:hAnsi="华文中宋" w:eastAsia="华文中宋"/>
                <w:szCs w:val="21"/>
              </w:rPr>
              <w:t>μL反应体系的荧光定量</w:t>
            </w:r>
            <w:r>
              <w:rPr>
                <w:rFonts w:hint="eastAsia" w:ascii="华文中宋" w:hAnsi="华文中宋" w:eastAsia="华文中宋"/>
                <w:szCs w:val="21"/>
              </w:rPr>
              <w:t>R</w:t>
            </w:r>
            <w:r>
              <w:rPr>
                <w:rFonts w:ascii="华文中宋" w:hAnsi="华文中宋" w:eastAsia="华文中宋"/>
                <w:szCs w:val="21"/>
              </w:rPr>
              <w:t>T-PCR</w:t>
            </w:r>
            <w:r>
              <w:rPr>
                <w:rFonts w:hint="eastAsia" w:ascii="华文中宋" w:hAnsi="华文中宋" w:eastAsia="华文中宋"/>
                <w:szCs w:val="21"/>
              </w:rPr>
              <w:t>反应</w:t>
            </w:r>
            <w:r>
              <w:rPr>
                <w:rFonts w:ascii="华文中宋" w:hAnsi="华文中宋" w:eastAsia="华文中宋"/>
                <w:szCs w:val="21"/>
              </w:rPr>
              <w:t>。</w:t>
            </w:r>
          </w:p>
          <w:p>
            <w:pPr>
              <w:numPr>
                <w:ilvl w:val="0"/>
                <w:numId w:val="1"/>
              </w:numPr>
              <w:spacing w:line="360" w:lineRule="auto"/>
              <w:rPr>
                <w:rFonts w:ascii="华文中宋" w:hAnsi="华文中宋" w:eastAsia="华文中宋"/>
                <w:b/>
                <w:spacing w:val="-20"/>
                <w:szCs w:val="21"/>
              </w:rPr>
            </w:pPr>
            <w:r>
              <w:rPr>
                <w:rFonts w:hint="eastAsia" w:ascii="华文中宋" w:hAnsi="华文中宋" w:eastAsia="华文中宋"/>
                <w:szCs w:val="21"/>
              </w:rPr>
              <w:t>本产品只能用于科研。</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2"/>
          <w:wAfter w:w="574" w:type="dxa"/>
          <w:trHeight w:val="570" w:hRule="atLeast"/>
        </w:trPr>
        <w:tc>
          <w:tcPr>
            <w:tcW w:w="2178" w:type="dxa"/>
            <w:gridSpan w:val="2"/>
            <w:shd w:val="clear" w:color="auto" w:fill="auto"/>
          </w:tcPr>
          <w:p>
            <w:pPr>
              <w:spacing w:line="360" w:lineRule="auto"/>
              <w:jc w:val="right"/>
              <w:rPr>
                <w:rFonts w:ascii="华文中宋" w:hAnsi="华文中宋" w:eastAsia="华文中宋"/>
              </w:rPr>
            </w:pPr>
            <w:r>
              <w:rPr>
                <w:rFonts w:hint="eastAsia" w:ascii="华文中宋" w:hAnsi="华文中宋" w:eastAsia="华文中宋"/>
                <w:b/>
                <w:sz w:val="28"/>
                <w:szCs w:val="28"/>
              </w:rPr>
              <w:t>规格及成分</w:t>
            </w:r>
          </w:p>
        </w:tc>
        <w:tc>
          <w:tcPr>
            <w:tcW w:w="8125" w:type="dxa"/>
            <w:gridSpan w:val="3"/>
            <w:shd w:val="clear" w:color="auto" w:fill="auto"/>
          </w:tcPr>
          <w:tbl>
            <w:tblPr>
              <w:tblStyle w:val="6"/>
              <w:tblW w:w="7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5"/>
              <w:gridCol w:w="1911"/>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525" w:type="dxa"/>
                  <w:vAlign w:val="center"/>
                </w:tcPr>
                <w:p>
                  <w:pPr>
                    <w:spacing w:line="360" w:lineRule="auto"/>
                    <w:jc w:val="center"/>
                    <w:rPr>
                      <w:rFonts w:ascii="华文中宋" w:hAnsi="华文中宋" w:eastAsia="华文中宋"/>
                      <w:bCs/>
                      <w:szCs w:val="21"/>
                    </w:rPr>
                  </w:pPr>
                  <w:r>
                    <w:rPr>
                      <w:rFonts w:ascii="华文中宋" w:hAnsi="华文中宋" w:eastAsia="华文中宋"/>
                      <w:bCs/>
                      <w:szCs w:val="21"/>
                    </w:rPr>
                    <w:t>成</w:t>
                  </w:r>
                  <w:r>
                    <w:rPr>
                      <w:rFonts w:hint="eastAsia" w:ascii="华文中宋" w:hAnsi="华文中宋" w:eastAsia="华文中宋"/>
                      <w:bCs/>
                      <w:szCs w:val="21"/>
                    </w:rPr>
                    <w:t>分</w:t>
                  </w:r>
                </w:p>
              </w:tc>
              <w:tc>
                <w:tcPr>
                  <w:tcW w:w="1911" w:type="dxa"/>
                  <w:vAlign w:val="center"/>
                </w:tcPr>
                <w:p>
                  <w:pPr>
                    <w:spacing w:line="360" w:lineRule="auto"/>
                    <w:ind w:right="-34" w:rightChars="-16"/>
                    <w:jc w:val="center"/>
                    <w:rPr>
                      <w:rFonts w:ascii="华文中宋" w:hAnsi="华文中宋" w:eastAsia="华文中宋"/>
                      <w:bCs/>
                      <w:szCs w:val="21"/>
                    </w:rPr>
                  </w:pPr>
                  <w:r>
                    <w:rPr>
                      <w:rFonts w:hint="eastAsia" w:ascii="华文中宋" w:hAnsi="华文中宋" w:eastAsia="华文中宋"/>
                      <w:bCs/>
                      <w:szCs w:val="21"/>
                    </w:rPr>
                    <w:t>编号</w:t>
                  </w:r>
                </w:p>
              </w:tc>
              <w:tc>
                <w:tcPr>
                  <w:tcW w:w="2076" w:type="dxa"/>
                  <w:vAlign w:val="center"/>
                </w:tcPr>
                <w:p>
                  <w:pPr>
                    <w:spacing w:line="360" w:lineRule="auto"/>
                    <w:ind w:right="-34" w:rightChars="-16"/>
                    <w:jc w:val="center"/>
                    <w:rPr>
                      <w:rFonts w:ascii="华文中宋" w:hAnsi="华文中宋" w:eastAsia="华文中宋"/>
                      <w:bCs/>
                      <w:szCs w:val="21"/>
                    </w:rPr>
                  </w:pPr>
                  <w:r>
                    <w:rPr>
                      <w:rFonts w:hint="eastAsia" w:ascii="华文中宋" w:hAnsi="华文中宋" w:eastAsia="华文中宋"/>
                      <w:bCs/>
                      <w:szCs w:val="21"/>
                    </w:rPr>
                    <w:t>五孔</w:t>
                  </w:r>
                  <w:r>
                    <w:rPr>
                      <w:rFonts w:ascii="华文中宋" w:hAnsi="华文中宋" w:eastAsia="华文中宋"/>
                      <w:bCs/>
                      <w:szCs w:val="21"/>
                    </w:rPr>
                    <w:t>盒</w:t>
                  </w:r>
                  <w:r>
                    <w:rPr>
                      <w:rFonts w:hint="eastAsia" w:ascii="华文中宋" w:hAnsi="华文中宋" w:eastAsia="华文中宋"/>
                      <w:bCs/>
                      <w:szCs w:val="21"/>
                    </w:rPr>
                    <w:t>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525" w:type="dxa"/>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探针法</w:t>
                  </w:r>
                  <w:r>
                    <w:rPr>
                      <w:rFonts w:ascii="华文中宋" w:hAnsi="华文中宋" w:eastAsia="华文中宋"/>
                      <w:bCs/>
                      <w:szCs w:val="21"/>
                    </w:rPr>
                    <w:t>qRT-PCR</w:t>
                  </w:r>
                  <w:r>
                    <w:rPr>
                      <w:rFonts w:hint="eastAsia" w:ascii="华文中宋" w:hAnsi="华文中宋" w:eastAsia="华文中宋"/>
                      <w:bCs/>
                      <w:szCs w:val="21"/>
                    </w:rPr>
                    <w:t>缓冲液</w:t>
                  </w:r>
                </w:p>
              </w:tc>
              <w:tc>
                <w:tcPr>
                  <w:tcW w:w="1911" w:type="dxa"/>
                  <w:vAlign w:val="center"/>
                </w:tcPr>
                <w:p>
                  <w:pPr>
                    <w:spacing w:line="360" w:lineRule="auto"/>
                    <w:ind w:right="-34" w:rightChars="-16"/>
                    <w:jc w:val="center"/>
                    <w:rPr>
                      <w:rFonts w:ascii="华文中宋" w:hAnsi="华文中宋" w:eastAsia="华文中宋"/>
                      <w:bCs/>
                      <w:szCs w:val="21"/>
                    </w:rPr>
                  </w:pPr>
                  <w:r>
                    <w:rPr>
                      <w:rFonts w:hint="eastAsia" w:ascii="华文中宋" w:hAnsi="华文中宋" w:eastAsia="华文中宋"/>
                      <w:bCs/>
                      <w:szCs w:val="21"/>
                      <w:lang w:val="en-US" w:eastAsia="zh-CN"/>
                    </w:rPr>
                    <w:t>9</w:t>
                  </w:r>
                  <w:r>
                    <w:rPr>
                      <w:rFonts w:hint="eastAsia" w:ascii="华文中宋" w:hAnsi="华文中宋" w:eastAsia="华文中宋"/>
                      <w:bCs/>
                      <w:szCs w:val="21"/>
                    </w:rPr>
                    <w:t>90</w:t>
                  </w:r>
                  <w:r>
                    <w:rPr>
                      <w:rFonts w:ascii="华文中宋" w:hAnsi="华文中宋" w:eastAsia="华文中宋"/>
                      <w:bCs/>
                      <w:szCs w:val="21"/>
                    </w:rPr>
                    <w:t>504a</w:t>
                  </w:r>
                </w:p>
              </w:tc>
              <w:tc>
                <w:tcPr>
                  <w:tcW w:w="2076" w:type="dxa"/>
                  <w:vAlign w:val="center"/>
                </w:tcPr>
                <w:p>
                  <w:pPr>
                    <w:spacing w:line="360" w:lineRule="auto"/>
                    <w:ind w:right="-34" w:rightChars="-16"/>
                    <w:jc w:val="center"/>
                    <w:rPr>
                      <w:rFonts w:ascii="华文中宋" w:hAnsi="华文中宋" w:eastAsia="华文中宋"/>
                      <w:bCs/>
                      <w:szCs w:val="21"/>
                    </w:rPr>
                  </w:pPr>
                  <w:r>
                    <w:rPr>
                      <w:rFonts w:ascii="华文中宋" w:hAnsi="华文中宋" w:eastAsia="华文中宋"/>
                      <w:bCs/>
                      <w:szCs w:val="21"/>
                    </w:rPr>
                    <w:t>500μL</w:t>
                  </w:r>
                  <w:r>
                    <w:rPr>
                      <w:rFonts w:hint="eastAsia" w:ascii="华文中宋" w:hAnsi="华文中宋" w:eastAsia="华文中宋"/>
                      <w:bCs/>
                      <w:szCs w:val="21"/>
                    </w:rPr>
                    <w:t>（蓝盖）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525" w:type="dxa"/>
                  <w:vAlign w:val="center"/>
                </w:tcPr>
                <w:p>
                  <w:pPr>
                    <w:spacing w:line="360" w:lineRule="auto"/>
                    <w:jc w:val="center"/>
                    <w:rPr>
                      <w:rFonts w:ascii="华文中宋" w:hAnsi="华文中宋" w:eastAsia="华文中宋"/>
                      <w:bCs/>
                      <w:szCs w:val="21"/>
                    </w:rPr>
                  </w:pPr>
                  <w:r>
                    <w:rPr>
                      <w:rFonts w:hint="eastAsia" w:ascii="华文中宋" w:hAnsi="华文中宋" w:eastAsia="华文中宋"/>
                      <w:bCs/>
                      <w:szCs w:val="21"/>
                    </w:rPr>
                    <w:t>探针法qRT-PCR酶混合液</w:t>
                  </w:r>
                </w:p>
              </w:tc>
              <w:tc>
                <w:tcPr>
                  <w:tcW w:w="1911" w:type="dxa"/>
                  <w:vAlign w:val="center"/>
                </w:tcPr>
                <w:p>
                  <w:pPr>
                    <w:spacing w:line="360" w:lineRule="auto"/>
                    <w:ind w:right="-34" w:rightChars="-16"/>
                    <w:jc w:val="center"/>
                    <w:rPr>
                      <w:rFonts w:ascii="华文中宋" w:hAnsi="华文中宋" w:eastAsia="华文中宋"/>
                      <w:bCs/>
                      <w:szCs w:val="21"/>
                    </w:rPr>
                  </w:pPr>
                  <w:r>
                    <w:rPr>
                      <w:rFonts w:hint="eastAsia" w:ascii="华文中宋" w:hAnsi="华文中宋" w:eastAsia="华文中宋"/>
                      <w:bCs/>
                      <w:szCs w:val="21"/>
                      <w:lang w:val="en-US" w:eastAsia="zh-CN"/>
                    </w:rPr>
                    <w:t>9</w:t>
                  </w:r>
                  <w:bookmarkStart w:id="0" w:name="_GoBack"/>
                  <w:bookmarkEnd w:id="0"/>
                  <w:r>
                    <w:rPr>
                      <w:rFonts w:ascii="华文中宋" w:hAnsi="华文中宋" w:eastAsia="华文中宋"/>
                      <w:bCs/>
                      <w:szCs w:val="21"/>
                    </w:rPr>
                    <w:t>90504b</w:t>
                  </w:r>
                </w:p>
              </w:tc>
              <w:tc>
                <w:tcPr>
                  <w:tcW w:w="2076" w:type="dxa"/>
                  <w:vAlign w:val="center"/>
                </w:tcPr>
                <w:p>
                  <w:pPr>
                    <w:spacing w:line="360" w:lineRule="auto"/>
                    <w:ind w:right="-34" w:rightChars="-16"/>
                    <w:jc w:val="center"/>
                    <w:rPr>
                      <w:rFonts w:ascii="华文中宋" w:hAnsi="华文中宋" w:eastAsia="华文中宋"/>
                      <w:bCs/>
                      <w:szCs w:val="21"/>
                    </w:rPr>
                  </w:pPr>
                  <w:r>
                    <w:rPr>
                      <w:rFonts w:hint="eastAsia" w:ascii="华文中宋" w:hAnsi="华文中宋" w:eastAsia="华文中宋"/>
                      <w:bCs/>
                      <w:szCs w:val="21"/>
                    </w:rPr>
                    <w:t>100μL（红盖）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525" w:type="dxa"/>
                  <w:vAlign w:val="center"/>
                </w:tcPr>
                <w:p>
                  <w:pPr>
                    <w:spacing w:line="240" w:lineRule="exact"/>
                    <w:jc w:val="center"/>
                    <w:rPr>
                      <w:rFonts w:ascii="华文中宋" w:hAnsi="华文中宋" w:eastAsia="华文中宋"/>
                      <w:szCs w:val="21"/>
                    </w:rPr>
                  </w:pPr>
                  <w:r>
                    <w:rPr>
                      <w:rFonts w:hint="eastAsia" w:ascii="华文中宋" w:hAnsi="华文中宋" w:eastAsia="华文中宋"/>
                      <w:szCs w:val="21"/>
                    </w:rPr>
                    <w:t>荧光PCR</w:t>
                  </w:r>
                  <w:r>
                    <w:rPr>
                      <w:rFonts w:ascii="华文中宋" w:hAnsi="华文中宋" w:eastAsia="华文中宋"/>
                      <w:szCs w:val="21"/>
                    </w:rPr>
                    <w:t>专用模板稀释液</w:t>
                  </w:r>
                </w:p>
              </w:tc>
              <w:tc>
                <w:tcPr>
                  <w:tcW w:w="1911" w:type="dxa"/>
                  <w:vAlign w:val="center"/>
                </w:tcPr>
                <w:p>
                  <w:pPr>
                    <w:spacing w:line="360" w:lineRule="auto"/>
                    <w:ind w:right="-34" w:rightChars="-16"/>
                    <w:jc w:val="center"/>
                    <w:rPr>
                      <w:rFonts w:ascii="华文中宋" w:hAnsi="华文中宋" w:eastAsia="华文中宋"/>
                      <w:bCs/>
                      <w:szCs w:val="21"/>
                    </w:rPr>
                  </w:pPr>
                  <w:r>
                    <w:rPr>
                      <w:rFonts w:hint="eastAsia" w:ascii="华文中宋" w:hAnsi="华文中宋" w:eastAsia="华文中宋"/>
                      <w:bCs/>
                      <w:szCs w:val="21"/>
                    </w:rPr>
                    <w:t>180701</w:t>
                  </w:r>
                </w:p>
              </w:tc>
              <w:tc>
                <w:tcPr>
                  <w:tcW w:w="2076" w:type="dxa"/>
                  <w:vAlign w:val="center"/>
                </w:tcPr>
                <w:p>
                  <w:pPr>
                    <w:spacing w:line="360" w:lineRule="auto"/>
                    <w:ind w:right="-34" w:rightChars="-16"/>
                    <w:jc w:val="center"/>
                    <w:rPr>
                      <w:rFonts w:ascii="华文中宋" w:hAnsi="华文中宋" w:eastAsia="华文中宋"/>
                      <w:bCs/>
                      <w:szCs w:val="21"/>
                    </w:rPr>
                  </w:pPr>
                  <w:r>
                    <w:rPr>
                      <w:rFonts w:ascii="华文中宋" w:hAnsi="华文中宋" w:eastAsia="华文中宋"/>
                      <w:bCs/>
                      <w:szCs w:val="21"/>
                    </w:rPr>
                    <w:t>1</w:t>
                  </w:r>
                  <w:r>
                    <w:rPr>
                      <w:rFonts w:hint="eastAsia" w:ascii="华文中宋" w:hAnsi="华文中宋" w:eastAsia="华文中宋"/>
                      <w:bCs/>
                      <w:szCs w:val="21"/>
                    </w:rPr>
                    <w:t xml:space="preserve"> mL（绿盖）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525" w:type="dxa"/>
                  <w:vAlign w:val="center"/>
                </w:tcPr>
                <w:p>
                  <w:pPr>
                    <w:jc w:val="center"/>
                    <w:rPr>
                      <w:rFonts w:ascii="华文中宋" w:hAnsi="华文中宋" w:eastAsia="华文中宋"/>
                      <w:bCs/>
                      <w:szCs w:val="21"/>
                    </w:rPr>
                  </w:pPr>
                  <w:r>
                    <w:rPr>
                      <w:rFonts w:ascii="华文中宋" w:hAnsi="华文中宋" w:eastAsia="华文中宋"/>
                      <w:bCs/>
                      <w:szCs w:val="21"/>
                    </w:rPr>
                    <w:t>HTLV</w:t>
                  </w:r>
                  <w:r>
                    <w:rPr>
                      <w:rFonts w:hint="eastAsia" w:ascii="华文中宋" w:hAnsi="华文中宋" w:eastAsia="华文中宋"/>
                      <w:bCs/>
                      <w:szCs w:val="21"/>
                    </w:rPr>
                    <w:t>病毒</w:t>
                  </w:r>
                  <w:r>
                    <w:rPr>
                      <w:rFonts w:ascii="华文中宋" w:hAnsi="华文中宋" w:eastAsia="华文中宋"/>
                      <w:bCs/>
                      <w:szCs w:val="21"/>
                    </w:rPr>
                    <w:t>qRT-PCR</w:t>
                  </w:r>
                </w:p>
                <w:p>
                  <w:pPr>
                    <w:jc w:val="center"/>
                    <w:rPr>
                      <w:rFonts w:ascii="华文中宋" w:hAnsi="华文中宋" w:eastAsia="华文中宋"/>
                      <w:bCs/>
                      <w:szCs w:val="21"/>
                    </w:rPr>
                  </w:pPr>
                  <w:r>
                    <w:rPr>
                      <w:rFonts w:hint="eastAsia" w:ascii="华文中宋" w:hAnsi="华文中宋" w:eastAsia="华文中宋"/>
                      <w:szCs w:val="21"/>
                    </w:rPr>
                    <w:t>引物-探针混合液</w:t>
                  </w:r>
                </w:p>
              </w:tc>
              <w:tc>
                <w:tcPr>
                  <w:tcW w:w="1911" w:type="dxa"/>
                  <w:vAlign w:val="center"/>
                </w:tcPr>
                <w:p>
                  <w:pPr>
                    <w:ind w:right="-34" w:rightChars="-16"/>
                    <w:jc w:val="center"/>
                    <w:rPr>
                      <w:rFonts w:ascii="华文中宋" w:hAnsi="华文中宋" w:eastAsia="华文中宋"/>
                      <w:bCs/>
                      <w:szCs w:val="21"/>
                    </w:rPr>
                  </w:pPr>
                  <w:r>
                    <w:rPr>
                      <w:rFonts w:hint="eastAsia" w:ascii="华文中宋" w:hAnsi="华文中宋" w:eastAsia="华文中宋"/>
                      <w:bCs/>
                      <w:szCs w:val="21"/>
                    </w:rPr>
                    <w:t>yp</w:t>
                  </w:r>
                  <w:r>
                    <w:rPr>
                      <w:rFonts w:ascii="华文中宋" w:hAnsi="华文中宋" w:eastAsia="华文中宋"/>
                      <w:bCs/>
                      <w:szCs w:val="21"/>
                    </w:rPr>
                    <w:t>1</w:t>
                  </w:r>
                  <w:r>
                    <w:rPr>
                      <w:rFonts w:hint="eastAsia" w:ascii="华文中宋" w:hAnsi="华文中宋" w:eastAsia="华文中宋"/>
                      <w:bCs/>
                      <w:szCs w:val="21"/>
                    </w:rPr>
                    <w:t>5</w:t>
                  </w:r>
                  <w:r>
                    <w:rPr>
                      <w:rFonts w:ascii="华文中宋" w:hAnsi="华文中宋" w:eastAsia="华文中宋"/>
                      <w:bCs/>
                      <w:szCs w:val="21"/>
                    </w:rPr>
                    <w:t>-87800</w:t>
                  </w:r>
                </w:p>
              </w:tc>
              <w:tc>
                <w:tcPr>
                  <w:tcW w:w="2076" w:type="dxa"/>
                  <w:vAlign w:val="center"/>
                </w:tcPr>
                <w:p>
                  <w:pPr>
                    <w:spacing w:line="360" w:lineRule="auto"/>
                    <w:ind w:right="-34" w:rightChars="-16"/>
                    <w:jc w:val="center"/>
                    <w:rPr>
                      <w:rFonts w:ascii="华文中宋" w:hAnsi="华文中宋" w:eastAsia="华文中宋"/>
                      <w:bCs/>
                      <w:szCs w:val="21"/>
                    </w:rPr>
                  </w:pPr>
                  <w:r>
                    <w:rPr>
                      <w:rFonts w:hint="eastAsia" w:ascii="华文中宋" w:hAnsi="华文中宋" w:eastAsia="华文中宋"/>
                      <w:bCs/>
                      <w:szCs w:val="21"/>
                    </w:rPr>
                    <w:t>150μL（棕色管）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525" w:type="dxa"/>
                  <w:vAlign w:val="center"/>
                </w:tcPr>
                <w:p>
                  <w:pPr>
                    <w:jc w:val="center"/>
                    <w:rPr>
                      <w:rFonts w:ascii="华文中宋" w:hAnsi="华文中宋" w:eastAsia="华文中宋"/>
                      <w:bCs/>
                      <w:szCs w:val="21"/>
                    </w:rPr>
                  </w:pPr>
                  <w:r>
                    <w:rPr>
                      <w:rFonts w:ascii="华文中宋" w:hAnsi="华文中宋" w:eastAsia="华文中宋"/>
                      <w:bCs/>
                      <w:szCs w:val="21"/>
                    </w:rPr>
                    <w:t>HTLV</w:t>
                  </w:r>
                  <w:r>
                    <w:rPr>
                      <w:rFonts w:hint="eastAsia" w:ascii="华文中宋" w:hAnsi="华文中宋" w:eastAsia="华文中宋"/>
                      <w:bCs/>
                      <w:szCs w:val="21"/>
                    </w:rPr>
                    <w:t>病毒</w:t>
                  </w:r>
                  <w:r>
                    <w:rPr>
                      <w:rFonts w:ascii="华文中宋" w:hAnsi="华文中宋" w:eastAsia="华文中宋"/>
                      <w:bCs/>
                      <w:szCs w:val="21"/>
                    </w:rPr>
                    <w:t>qRT-PCR</w:t>
                  </w:r>
                  <w:r>
                    <w:rPr>
                      <w:rFonts w:hint="eastAsia" w:ascii="华文中宋" w:hAnsi="华文中宋" w:eastAsia="华文中宋"/>
                      <w:bCs/>
                      <w:szCs w:val="21"/>
                    </w:rPr>
                    <w:t>阳性对照</w:t>
                  </w:r>
                </w:p>
                <w:p>
                  <w:pPr>
                    <w:jc w:val="center"/>
                    <w:rPr>
                      <w:rFonts w:ascii="华文中宋" w:hAnsi="华文中宋" w:eastAsia="华文中宋"/>
                      <w:bCs/>
                      <w:szCs w:val="21"/>
                    </w:rPr>
                  </w:pPr>
                  <w:r>
                    <w:rPr>
                      <w:rFonts w:ascii="华文中宋" w:hAnsi="华文中宋" w:eastAsia="华文中宋"/>
                      <w:bCs/>
                      <w:szCs w:val="21"/>
                    </w:rPr>
                    <w:t>(</w:t>
                  </w:r>
                  <w:r>
                    <w:rPr>
                      <w:rFonts w:ascii="华文中宋" w:hAnsi="华文中宋" w:eastAsia="华文中宋"/>
                      <w:szCs w:val="21"/>
                    </w:rPr>
                    <w:t>1×</w:t>
                  </w:r>
                  <w:r>
                    <w:rPr>
                      <w:rFonts w:hint="eastAsia" w:ascii="华文中宋" w:hAnsi="华文中宋" w:eastAsia="华文中宋"/>
                      <w:bCs/>
                      <w:szCs w:val="21"/>
                    </w:rPr>
                    <w:t>10E7</w:t>
                  </w:r>
                  <w:r>
                    <w:rPr>
                      <w:rFonts w:ascii="华文中宋" w:hAnsi="华文中宋" w:eastAsia="华文中宋"/>
                      <w:bCs/>
                      <w:szCs w:val="21"/>
                    </w:rPr>
                    <w:t xml:space="preserve"> </w:t>
                  </w:r>
                  <w:r>
                    <w:rPr>
                      <w:rFonts w:hint="eastAsia" w:ascii="华文中宋" w:hAnsi="华文中宋" w:eastAsia="华文中宋"/>
                      <w:bCs/>
                      <w:szCs w:val="21"/>
                    </w:rPr>
                    <w:t>拷贝/μL</w:t>
                  </w:r>
                  <w:r>
                    <w:rPr>
                      <w:rFonts w:ascii="华文中宋" w:hAnsi="华文中宋" w:eastAsia="华文中宋"/>
                      <w:bCs/>
                      <w:szCs w:val="21"/>
                    </w:rPr>
                    <w:t>)</w:t>
                  </w:r>
                </w:p>
              </w:tc>
              <w:tc>
                <w:tcPr>
                  <w:tcW w:w="1911" w:type="dxa"/>
                  <w:vAlign w:val="center"/>
                </w:tcPr>
                <w:p>
                  <w:pPr>
                    <w:ind w:right="-34" w:rightChars="-16"/>
                    <w:jc w:val="center"/>
                    <w:rPr>
                      <w:rFonts w:ascii="华文中宋" w:hAnsi="华文中宋" w:eastAsia="华文中宋"/>
                      <w:bCs/>
                      <w:szCs w:val="21"/>
                    </w:rPr>
                  </w:pPr>
                  <w:r>
                    <w:rPr>
                      <w:rFonts w:ascii="华文中宋" w:hAnsi="华文中宋" w:eastAsia="华文中宋"/>
                      <w:bCs/>
                      <w:szCs w:val="21"/>
                    </w:rPr>
                    <w:t>pc878</w:t>
                  </w:r>
                  <w:r>
                    <w:rPr>
                      <w:rFonts w:hint="eastAsia" w:ascii="华文中宋" w:hAnsi="华文中宋" w:eastAsia="华文中宋"/>
                      <w:bCs/>
                      <w:szCs w:val="21"/>
                    </w:rPr>
                    <w:t>00</w:t>
                  </w:r>
                </w:p>
              </w:tc>
              <w:tc>
                <w:tcPr>
                  <w:tcW w:w="2076" w:type="dxa"/>
                  <w:vAlign w:val="center"/>
                </w:tcPr>
                <w:p>
                  <w:pPr>
                    <w:spacing w:line="360" w:lineRule="auto"/>
                    <w:ind w:right="-34" w:rightChars="-16"/>
                    <w:jc w:val="center"/>
                    <w:rPr>
                      <w:rFonts w:ascii="华文中宋" w:hAnsi="华文中宋" w:eastAsia="华文中宋"/>
                      <w:bCs/>
                      <w:szCs w:val="21"/>
                    </w:rPr>
                  </w:pPr>
                  <w:r>
                    <w:rPr>
                      <w:rFonts w:hint="eastAsia" w:ascii="华文中宋" w:hAnsi="华文中宋" w:eastAsia="华文中宋"/>
                      <w:bCs/>
                      <w:szCs w:val="21"/>
                    </w:rPr>
                    <w:t>50μL（黄盖）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525" w:type="dxa"/>
                  <w:vAlign w:val="center"/>
                </w:tcPr>
                <w:p>
                  <w:pPr>
                    <w:spacing w:line="360" w:lineRule="auto"/>
                    <w:jc w:val="center"/>
                    <w:rPr>
                      <w:rFonts w:ascii="华文中宋" w:hAnsi="华文中宋" w:eastAsia="华文中宋"/>
                      <w:szCs w:val="21"/>
                    </w:rPr>
                  </w:pPr>
                  <w:r>
                    <w:rPr>
                      <w:rFonts w:ascii="华文中宋" w:hAnsi="华文中宋" w:eastAsia="华文中宋"/>
                      <w:bCs/>
                      <w:szCs w:val="21"/>
                    </w:rPr>
                    <w:t>使用手册</w:t>
                  </w:r>
                </w:p>
              </w:tc>
              <w:tc>
                <w:tcPr>
                  <w:tcW w:w="1911" w:type="dxa"/>
                  <w:vAlign w:val="center"/>
                </w:tcPr>
                <w:p>
                  <w:pPr>
                    <w:spacing w:line="360" w:lineRule="auto"/>
                    <w:ind w:right="-34" w:rightChars="-16"/>
                    <w:jc w:val="center"/>
                    <w:rPr>
                      <w:rFonts w:ascii="华文中宋" w:hAnsi="华文中宋" w:eastAsia="华文中宋"/>
                      <w:bCs/>
                      <w:szCs w:val="21"/>
                    </w:rPr>
                  </w:pPr>
                  <w:r>
                    <w:rPr>
                      <w:rFonts w:hint="eastAsia" w:ascii="华文中宋" w:hAnsi="华文中宋" w:eastAsia="华文中宋"/>
                      <w:bCs/>
                      <w:szCs w:val="21"/>
                    </w:rPr>
                    <w:t>15-</w:t>
                  </w:r>
                  <w:r>
                    <w:rPr>
                      <w:rFonts w:ascii="华文中宋" w:hAnsi="华文中宋" w:eastAsia="华文中宋"/>
                      <w:bCs/>
                      <w:szCs w:val="21"/>
                    </w:rPr>
                    <w:t>87800</w:t>
                  </w:r>
                  <w:r>
                    <w:rPr>
                      <w:rFonts w:hint="eastAsia" w:ascii="华文中宋" w:hAnsi="华文中宋" w:eastAsia="华文中宋"/>
                      <w:bCs/>
                      <w:szCs w:val="21"/>
                    </w:rPr>
                    <w:t>sc</w:t>
                  </w:r>
                </w:p>
              </w:tc>
              <w:tc>
                <w:tcPr>
                  <w:tcW w:w="2076" w:type="dxa"/>
                  <w:vAlign w:val="center"/>
                </w:tcPr>
                <w:p>
                  <w:pPr>
                    <w:spacing w:line="360" w:lineRule="auto"/>
                    <w:ind w:right="-34" w:rightChars="-16"/>
                    <w:jc w:val="center"/>
                    <w:rPr>
                      <w:rFonts w:ascii="华文中宋" w:hAnsi="华文中宋" w:eastAsia="华文中宋"/>
                      <w:bCs/>
                      <w:szCs w:val="21"/>
                    </w:rPr>
                  </w:pPr>
                  <w:r>
                    <w:rPr>
                      <w:rFonts w:ascii="华文中宋" w:hAnsi="华文中宋" w:eastAsia="华文中宋"/>
                      <w:bCs/>
                      <w:szCs w:val="21"/>
                    </w:rPr>
                    <w:t>1份</w:t>
                  </w:r>
                </w:p>
              </w:tc>
            </w:tr>
          </w:tbl>
          <w:p>
            <w:pPr>
              <w:spacing w:line="360" w:lineRule="auto"/>
              <w:rPr>
                <w:rFonts w:ascii="华文中宋" w:hAnsi="华文中宋" w:eastAsia="华文中宋"/>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2"/>
          <w:wAfter w:w="574" w:type="dxa"/>
          <w:trHeight w:val="570" w:hRule="atLeast"/>
        </w:trPr>
        <w:tc>
          <w:tcPr>
            <w:tcW w:w="2178" w:type="dxa"/>
            <w:gridSpan w:val="2"/>
            <w:shd w:val="clear" w:color="auto" w:fill="auto"/>
          </w:tcPr>
          <w:p>
            <w:pPr>
              <w:spacing w:line="360" w:lineRule="auto"/>
              <w:jc w:val="right"/>
              <w:rPr>
                <w:rFonts w:ascii="华文中宋" w:hAnsi="华文中宋" w:eastAsia="华文中宋"/>
              </w:rPr>
            </w:pPr>
            <w:r>
              <w:rPr>
                <w:rFonts w:hint="eastAsia" w:ascii="华文中宋" w:hAnsi="华文中宋" w:eastAsia="华文中宋"/>
                <w:b/>
                <w:sz w:val="28"/>
                <w:szCs w:val="28"/>
              </w:rPr>
              <w:t>运输及保存</w:t>
            </w:r>
          </w:p>
        </w:tc>
        <w:tc>
          <w:tcPr>
            <w:tcW w:w="8125" w:type="dxa"/>
            <w:gridSpan w:val="3"/>
            <w:shd w:val="clear" w:color="auto" w:fill="auto"/>
            <w:vAlign w:val="center"/>
          </w:tcPr>
          <w:p>
            <w:pPr>
              <w:spacing w:line="360" w:lineRule="auto"/>
              <w:rPr>
                <w:rFonts w:ascii="华文中宋" w:hAnsi="华文中宋" w:eastAsia="华文中宋"/>
                <w:b/>
                <w:spacing w:val="-20"/>
                <w:szCs w:val="21"/>
              </w:rPr>
            </w:pPr>
            <w:r>
              <w:rPr>
                <w:rFonts w:hint="eastAsia" w:ascii="华文中宋" w:hAnsi="华文中宋" w:eastAsia="华文中宋"/>
                <w:color w:val="000000"/>
                <w:szCs w:val="21"/>
              </w:rPr>
              <w:t>低温运输、-20℃保存，保存期限为12个月。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2"/>
          <w:wAfter w:w="574" w:type="dxa"/>
          <w:trHeight w:val="570" w:hRule="atLeast"/>
        </w:trPr>
        <w:tc>
          <w:tcPr>
            <w:tcW w:w="2178" w:type="dxa"/>
            <w:gridSpan w:val="2"/>
            <w:shd w:val="clear" w:color="auto" w:fill="auto"/>
          </w:tcPr>
          <w:p>
            <w:pPr>
              <w:spacing w:line="360" w:lineRule="auto"/>
              <w:jc w:val="right"/>
              <w:rPr>
                <w:rFonts w:ascii="华文中宋" w:hAnsi="华文中宋" w:eastAsia="华文中宋"/>
                <w:b/>
                <w:sz w:val="28"/>
                <w:szCs w:val="28"/>
              </w:rPr>
            </w:pPr>
            <w:r>
              <w:rPr>
                <w:rFonts w:hint="eastAsia" w:ascii="华文中宋" w:hAnsi="华文中宋" w:eastAsia="华文中宋"/>
                <w:b/>
                <w:sz w:val="28"/>
                <w:szCs w:val="28"/>
              </w:rPr>
              <w:t>自备试剂</w:t>
            </w:r>
          </w:p>
        </w:tc>
        <w:tc>
          <w:tcPr>
            <w:tcW w:w="8125" w:type="dxa"/>
            <w:gridSpan w:val="3"/>
            <w:shd w:val="clear" w:color="auto" w:fill="auto"/>
            <w:vAlign w:val="center"/>
          </w:tcPr>
          <w:p>
            <w:pPr>
              <w:spacing w:line="360" w:lineRule="auto"/>
              <w:rPr>
                <w:rFonts w:ascii="华文中宋" w:hAnsi="华文中宋" w:eastAsia="华文中宋"/>
                <w:szCs w:val="21"/>
              </w:rPr>
            </w:pPr>
            <w:r>
              <w:rPr>
                <w:rFonts w:hint="eastAsia" w:ascii="华文中宋" w:hAnsi="华文中宋" w:eastAsia="华文中宋"/>
                <w:szCs w:val="21"/>
              </w:rPr>
              <w:t>样品</w:t>
            </w:r>
            <w:r>
              <w:rPr>
                <w:rFonts w:ascii="华文中宋" w:hAnsi="华文中宋" w:eastAsia="华文中宋"/>
                <w:szCs w:val="21"/>
              </w:rPr>
              <w:t>R</w:t>
            </w:r>
            <w:r>
              <w:rPr>
                <w:rFonts w:hint="eastAsia" w:ascii="华文中宋" w:hAnsi="华文中宋" w:eastAsia="华文中宋"/>
                <w:szCs w:val="21"/>
              </w:rPr>
              <w:t>NA</w:t>
            </w:r>
            <w:r>
              <w:rPr>
                <w:rFonts w:ascii="华文中宋" w:hAnsi="华文中宋" w:eastAsia="华文中宋"/>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2"/>
          <w:wAfter w:w="574" w:type="dxa"/>
          <w:trHeight w:val="7220" w:hRule="atLeast"/>
        </w:trPr>
        <w:tc>
          <w:tcPr>
            <w:tcW w:w="2178" w:type="dxa"/>
            <w:gridSpan w:val="2"/>
            <w:shd w:val="clear" w:color="auto" w:fill="auto"/>
          </w:tcPr>
          <w:p>
            <w:pPr>
              <w:spacing w:line="360" w:lineRule="auto"/>
              <w:jc w:val="right"/>
              <w:rPr>
                <w:rFonts w:ascii="华文中宋" w:hAnsi="华文中宋" w:eastAsia="华文中宋"/>
              </w:rPr>
            </w:pPr>
            <w:r>
              <w:rPr>
                <w:rFonts w:hint="eastAsia" w:ascii="华文中宋" w:hAnsi="华文中宋" w:eastAsia="华文中宋"/>
                <w:b/>
                <w:sz w:val="28"/>
                <w:szCs w:val="28"/>
              </w:rPr>
              <w:t>使用方法</w:t>
            </w:r>
          </w:p>
        </w:tc>
        <w:tc>
          <w:tcPr>
            <w:tcW w:w="8125" w:type="dxa"/>
            <w:gridSpan w:val="3"/>
            <w:shd w:val="clear" w:color="auto" w:fill="auto"/>
          </w:tcPr>
          <w:p>
            <w:pPr>
              <w:spacing w:line="360" w:lineRule="auto"/>
              <w:rPr>
                <w:rFonts w:ascii="华文中宋" w:hAnsi="华文中宋" w:eastAsia="华文中宋"/>
                <w:szCs w:val="21"/>
              </w:rPr>
            </w:pPr>
            <w:r>
              <w:rPr>
                <w:rFonts w:hint="eastAsia" w:ascii="华文中宋" w:hAnsi="华文中宋" w:eastAsia="华文中宋"/>
                <w:b/>
                <w:szCs w:val="21"/>
              </w:rPr>
              <w:t>一、稀释PCR阳性对照</w:t>
            </w:r>
            <w:r>
              <w:rPr>
                <w:rFonts w:hint="eastAsia" w:ascii="华文中宋" w:hAnsi="华文中宋" w:eastAsia="华文中宋"/>
                <w:szCs w:val="21"/>
              </w:rPr>
              <w:t>（以10E</w:t>
            </w:r>
            <w:r>
              <w:rPr>
                <w:rFonts w:ascii="华文中宋" w:hAnsi="华文中宋" w:eastAsia="华文中宋"/>
                <w:szCs w:val="21"/>
              </w:rPr>
              <w:t>1</w:t>
            </w:r>
            <w:r>
              <w:rPr>
                <w:rFonts w:hint="eastAsia" w:ascii="华文中宋" w:hAnsi="华文中宋" w:eastAsia="华文中宋"/>
                <w:szCs w:val="21"/>
              </w:rPr>
              <w:t>-10E6拷贝/μL这6个10倍稀释度为例）</w:t>
            </w:r>
          </w:p>
          <w:p>
            <w:pPr>
              <w:spacing w:line="360" w:lineRule="auto"/>
              <w:rPr>
                <w:rFonts w:ascii="华文中宋" w:hAnsi="华文中宋" w:eastAsia="华文中宋"/>
                <w:szCs w:val="21"/>
              </w:rPr>
            </w:pPr>
            <w:r>
              <w:rPr>
                <w:rFonts w:hint="eastAsia" w:ascii="华文中宋" w:hAnsi="华文中宋" w:eastAsia="华文中宋"/>
                <w:szCs w:val="21"/>
              </w:rPr>
              <w:t>如果做定性实验，则此步可以跳过。如果做定量实验，则需要稀释阳性对照做标准曲线。由于标准品浓度非常高，因此下列稀释操作一定要在独立的区域进行，千万不能污染样品或本试剂盒的其他成分。为增加产品稳定性和避免扩散传染性病原，本产品不提供活体样品做阳性对照，只提供无传染性的DNA片段作为阳性对照。</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标记6个离心管，分别为6，5，4，3，2，1。</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用带芯枪头分别加入45μL荧光PCR专用模板稀释液（最好用带芯枪头，下同）。</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在6号管中加入5μL</w:t>
            </w:r>
            <w:r>
              <w:rPr>
                <w:rFonts w:ascii="华文中宋" w:hAnsi="华文中宋" w:eastAsia="华文中宋"/>
                <w:szCs w:val="21"/>
              </w:rPr>
              <w:t xml:space="preserve"> </w:t>
            </w:r>
            <w:r>
              <w:rPr>
                <w:rFonts w:hint="eastAsia" w:ascii="华文中宋" w:hAnsi="华文中宋" w:eastAsia="华文中宋"/>
                <w:szCs w:val="21"/>
              </w:rPr>
              <w:t>1×10E7拷贝/μL的阳性对照（试剂盒提供），充分震荡1分钟，得1×10E6拷贝/μL的标准曲线样品。放冰上待用。</w:t>
            </w:r>
          </w:p>
          <w:p>
            <w:pPr>
              <w:numPr>
                <w:ilvl w:val="0"/>
                <w:numId w:val="2"/>
              </w:numPr>
              <w:spacing w:line="360" w:lineRule="auto"/>
              <w:rPr>
                <w:rFonts w:ascii="华文中宋" w:hAnsi="华文中宋" w:eastAsia="华文中宋"/>
                <w:szCs w:val="21"/>
              </w:rPr>
            </w:pPr>
            <w:r>
              <w:rPr>
                <w:rFonts w:hint="eastAsia" w:ascii="华文中宋" w:hAnsi="华文中宋" w:eastAsia="华文中宋"/>
                <w:szCs w:val="21"/>
              </w:rPr>
              <w:t>换枪头，在5号管中加入5μL</w:t>
            </w:r>
            <w:r>
              <w:rPr>
                <w:rFonts w:ascii="华文中宋" w:hAnsi="华文中宋" w:eastAsia="华文中宋"/>
                <w:szCs w:val="21"/>
              </w:rPr>
              <w:t xml:space="preserve"> </w:t>
            </w:r>
            <w:r>
              <w:rPr>
                <w:rFonts w:hint="eastAsia" w:ascii="华文中宋" w:hAnsi="华文中宋" w:eastAsia="华文中宋"/>
                <w:szCs w:val="21"/>
              </w:rPr>
              <w:t>1×10E6拷贝/μL的阳性对照(上步稀释所得)，充分震荡1分钟，得1×10E5拷贝/μL的标准曲线样品。放冰上待用。</w:t>
            </w:r>
          </w:p>
          <w:p>
            <w:pPr>
              <w:numPr>
                <w:ilvl w:val="0"/>
                <w:numId w:val="2"/>
              </w:numPr>
              <w:spacing w:line="468" w:lineRule="exact"/>
              <w:rPr>
                <w:rFonts w:ascii="华文中宋" w:hAnsi="华文中宋" w:eastAsia="华文中宋" w:cs="华文中宋"/>
                <w:color w:val="000000"/>
                <w:spacing w:val="2"/>
                <w:szCs w:val="21"/>
              </w:rPr>
            </w:pPr>
            <w:r>
              <w:rPr>
                <w:rFonts w:hint="eastAsia" w:ascii="华文中宋" w:hAnsi="华文中宋" w:eastAsia="华文中宋" w:cs="华文中宋"/>
                <w:color w:val="000000"/>
                <w:spacing w:val="2"/>
                <w:szCs w:val="21"/>
              </w:rPr>
              <w:t>换枪头，在4号管中加入5</w:t>
            </w:r>
            <w:r>
              <w:rPr>
                <w:rFonts w:hint="eastAsia" w:ascii="华文中宋" w:hAnsi="华文中宋" w:eastAsia="华文中宋" w:cs="华文中宋"/>
                <w:color w:val="000000"/>
                <w:spacing w:val="2"/>
                <w:szCs w:val="21"/>
                <w:lang w:eastAsia="en-US"/>
              </w:rPr>
              <w:t>μ</w:t>
            </w:r>
            <w:r>
              <w:rPr>
                <w:rFonts w:hint="eastAsia" w:ascii="华文中宋" w:hAnsi="华文中宋" w:eastAsia="华文中宋" w:cs="华文中宋"/>
                <w:color w:val="000000"/>
                <w:spacing w:val="2"/>
                <w:szCs w:val="21"/>
              </w:rPr>
              <w:t>L</w:t>
            </w:r>
            <w:r>
              <w:rPr>
                <w:rFonts w:ascii="华文中宋" w:hAnsi="华文中宋" w:eastAsia="华文中宋" w:cs="华文中宋"/>
                <w:color w:val="000000"/>
                <w:spacing w:val="2"/>
                <w:szCs w:val="21"/>
              </w:rPr>
              <w:t xml:space="preserve"> </w:t>
            </w:r>
            <w:r>
              <w:rPr>
                <w:rFonts w:hint="eastAsia" w:ascii="华文中宋" w:hAnsi="华文中宋" w:eastAsia="华文中宋" w:cs="华文中宋"/>
                <w:color w:val="000000"/>
                <w:spacing w:val="2"/>
                <w:szCs w:val="21"/>
              </w:rPr>
              <w:t>1×10E5拷贝/</w:t>
            </w:r>
            <w:r>
              <w:rPr>
                <w:rFonts w:hint="eastAsia" w:ascii="华文中宋" w:hAnsi="华文中宋" w:eastAsia="华文中宋" w:cs="华文中宋"/>
                <w:color w:val="000000"/>
                <w:spacing w:val="2"/>
                <w:szCs w:val="21"/>
                <w:lang w:eastAsia="en-US"/>
              </w:rPr>
              <w:t>μ</w:t>
            </w:r>
            <w:r>
              <w:rPr>
                <w:rFonts w:hint="eastAsia" w:ascii="华文中宋" w:hAnsi="华文中宋" w:eastAsia="华文中宋" w:cs="华文中宋"/>
                <w:color w:val="000000"/>
                <w:spacing w:val="2"/>
                <w:szCs w:val="21"/>
              </w:rPr>
              <w:t>L的阳性对照（上步稀释所得)，充分震荡1分钟，得1×10E</w:t>
            </w:r>
            <w:r>
              <w:rPr>
                <w:rFonts w:ascii="华文中宋" w:hAnsi="华文中宋" w:eastAsia="华文中宋" w:cs="华文中宋"/>
                <w:color w:val="000000"/>
                <w:spacing w:val="2"/>
                <w:szCs w:val="21"/>
              </w:rPr>
              <w:t>4</w:t>
            </w:r>
            <w:r>
              <w:rPr>
                <w:rFonts w:hint="eastAsia" w:ascii="华文中宋" w:hAnsi="华文中宋" w:eastAsia="华文中宋" w:cs="华文中宋"/>
                <w:color w:val="000000"/>
                <w:spacing w:val="2"/>
                <w:szCs w:val="21"/>
              </w:rPr>
              <w:t>拷贝/</w:t>
            </w:r>
            <w:r>
              <w:rPr>
                <w:rFonts w:hint="eastAsia" w:ascii="华文中宋" w:hAnsi="华文中宋" w:eastAsia="华文中宋" w:cs="华文中宋"/>
                <w:color w:val="000000"/>
                <w:spacing w:val="2"/>
                <w:szCs w:val="21"/>
                <w:lang w:eastAsia="en-US"/>
              </w:rPr>
              <w:t>μ</w:t>
            </w:r>
            <w:r>
              <w:rPr>
                <w:rFonts w:hint="eastAsia" w:ascii="华文中宋" w:hAnsi="华文中宋" w:eastAsia="华文中宋" w:cs="华文中宋"/>
                <w:color w:val="000000"/>
                <w:spacing w:val="2"/>
                <w:szCs w:val="21"/>
              </w:rPr>
              <w:t>L的标准曲线样品。放冰上待用。</w:t>
            </w:r>
          </w:p>
          <w:p>
            <w:pPr>
              <w:numPr>
                <w:ilvl w:val="0"/>
                <w:numId w:val="2"/>
              </w:numPr>
              <w:spacing w:line="360" w:lineRule="auto"/>
              <w:rPr>
                <w:rFonts w:ascii="华文中宋" w:hAnsi="华文中宋" w:eastAsia="华文中宋"/>
                <w:szCs w:val="21"/>
              </w:rPr>
            </w:pPr>
            <w:r>
              <w:rPr>
                <w:rFonts w:hint="eastAsia" w:ascii="华文中宋" w:hAnsi="华文中宋" w:eastAsia="华文中宋" w:cs="华文中宋"/>
                <w:color w:val="000000"/>
                <w:spacing w:val="2"/>
                <w:szCs w:val="21"/>
              </w:rPr>
              <w:t>重复上面的操作直到得到6个稀释度的标准曲线样品。放冰上用。</w:t>
            </w:r>
          </w:p>
          <w:p>
            <w:pPr>
              <w:spacing w:line="468" w:lineRule="exact"/>
              <w:rPr>
                <w:rFonts w:ascii="华文中宋" w:hAnsi="华文中宋" w:eastAsia="华文中宋"/>
                <w:b/>
                <w:szCs w:val="21"/>
              </w:rPr>
            </w:pPr>
            <w:r>
              <w:rPr>
                <w:rFonts w:ascii="华文中宋" w:hAnsi="华文中宋" w:eastAsia="华文中宋"/>
                <w:b/>
                <w:szCs w:val="21"/>
              </w:rPr>
              <w:t>二、样品RNA的制备</w:t>
            </w:r>
          </w:p>
          <w:p>
            <w:pPr>
              <w:numPr>
                <w:ilvl w:val="0"/>
                <w:numId w:val="2"/>
              </w:numPr>
              <w:spacing w:line="468" w:lineRule="exact"/>
              <w:rPr>
                <w:rFonts w:ascii="华文中宋" w:hAnsi="华文中宋" w:eastAsia="华文中宋" w:cs="华文中宋"/>
                <w:color w:val="000000"/>
                <w:spacing w:val="2"/>
                <w:szCs w:val="21"/>
              </w:rPr>
            </w:pPr>
            <w:r>
              <w:rPr>
                <w:rFonts w:hint="eastAsia" w:ascii="华文中宋" w:hAnsi="华文中宋" w:eastAsia="华文中宋" w:cs="华文中宋"/>
                <w:color w:val="000000"/>
                <w:spacing w:val="2"/>
                <w:szCs w:val="21"/>
              </w:rPr>
              <w:t>如果有N个样品，必须设置N+2个提取，多出的一个是样品制备PC（样品制备阳性对照），一个是样品制备NC（样品制备阴性对照）。可以用10</w:t>
            </w:r>
            <w:r>
              <w:rPr>
                <w:rFonts w:hint="eastAsia" w:ascii="华文中宋" w:hAnsi="华文中宋" w:eastAsia="华文中宋" w:cs="华文中宋"/>
                <w:color w:val="000000"/>
                <w:spacing w:val="2"/>
                <w:szCs w:val="21"/>
                <w:lang w:eastAsia="en-US"/>
              </w:rPr>
              <w:t>μ</w:t>
            </w:r>
            <w:r>
              <w:rPr>
                <w:rFonts w:hint="eastAsia" w:ascii="华文中宋" w:hAnsi="华文中宋" w:eastAsia="华文中宋" w:cs="华文中宋"/>
                <w:color w:val="000000"/>
                <w:spacing w:val="2"/>
                <w:szCs w:val="21"/>
              </w:rPr>
              <w:t>L上步所得第4号稀释液再加上一定量的水使总体积跟核酸纯化试剂盒所要求的起始样品体积一样，以此作为样品制备PC。另外用水作为样品制备NC。</w:t>
            </w:r>
          </w:p>
          <w:p>
            <w:pPr>
              <w:numPr>
                <w:ilvl w:val="0"/>
                <w:numId w:val="2"/>
              </w:numPr>
              <w:spacing w:line="468" w:lineRule="exact"/>
              <w:rPr>
                <w:rFonts w:ascii="华文中宋" w:hAnsi="华文中宋" w:eastAsia="华文中宋" w:cs="华文中宋"/>
                <w:color w:val="000000"/>
                <w:spacing w:val="2"/>
                <w:szCs w:val="21"/>
              </w:rPr>
            </w:pPr>
            <w:r>
              <w:rPr>
                <w:rFonts w:hint="eastAsia" w:ascii="华文中宋" w:hAnsi="华文中宋" w:eastAsia="华文中宋" w:cs="华文中宋"/>
                <w:color w:val="000000"/>
                <w:spacing w:val="2"/>
                <w:szCs w:val="21"/>
              </w:rPr>
              <w:t>用自选方法纯化样品的</w:t>
            </w:r>
            <w:r>
              <w:rPr>
                <w:rFonts w:ascii="华文中宋" w:hAnsi="华文中宋" w:eastAsia="华文中宋" w:cs="华文中宋"/>
                <w:color w:val="000000"/>
                <w:spacing w:val="2"/>
                <w:szCs w:val="21"/>
              </w:rPr>
              <w:t>R</w:t>
            </w:r>
            <w:r>
              <w:rPr>
                <w:rFonts w:hint="eastAsia" w:ascii="华文中宋" w:hAnsi="华文中宋" w:eastAsia="华文中宋" w:cs="华文中宋"/>
                <w:color w:val="000000"/>
                <w:spacing w:val="2"/>
                <w:szCs w:val="21"/>
              </w:rPr>
              <w:t>NA，本试剂盒跟市场上大多数</w:t>
            </w:r>
            <w:r>
              <w:rPr>
                <w:rFonts w:ascii="华文中宋" w:hAnsi="华文中宋" w:eastAsia="华文中宋" w:cs="华文中宋"/>
                <w:color w:val="000000"/>
                <w:spacing w:val="2"/>
                <w:szCs w:val="21"/>
              </w:rPr>
              <w:t>R</w:t>
            </w:r>
            <w:r>
              <w:rPr>
                <w:rFonts w:hint="eastAsia" w:ascii="华文中宋" w:hAnsi="华文中宋" w:eastAsia="华文中宋" w:cs="华文中宋"/>
                <w:color w:val="000000"/>
                <w:spacing w:val="2"/>
                <w:szCs w:val="21"/>
              </w:rPr>
              <w:t>NA提取试剂盒兼容。</w:t>
            </w:r>
          </w:p>
          <w:p>
            <w:pPr>
              <w:spacing w:line="468" w:lineRule="exact"/>
              <w:rPr>
                <w:rFonts w:ascii="华文中宋" w:hAnsi="华文中宋" w:eastAsia="华文中宋" w:cs="华文中宋"/>
                <w:color w:val="000000"/>
                <w:spacing w:val="2"/>
                <w:szCs w:val="21"/>
              </w:rPr>
            </w:pPr>
            <w:r>
              <w:rPr>
                <w:rFonts w:ascii="华文中宋" w:hAnsi="华文中宋" w:eastAsia="华文中宋"/>
                <w:b/>
                <w:szCs w:val="21"/>
              </w:rPr>
              <w:t>三、</w:t>
            </w:r>
            <w:r>
              <w:rPr>
                <w:rFonts w:hint="eastAsia" w:ascii="华文中宋" w:hAnsi="华文中宋" w:eastAsia="华文中宋"/>
                <w:b/>
                <w:szCs w:val="21"/>
              </w:rPr>
              <w:t>Probe qRT</w:t>
            </w:r>
            <w:r>
              <w:rPr>
                <w:rFonts w:ascii="华文中宋" w:hAnsi="华文中宋" w:eastAsia="华文中宋"/>
                <w:b/>
                <w:szCs w:val="21"/>
              </w:rPr>
              <w:t>-</w:t>
            </w:r>
            <w:r>
              <w:rPr>
                <w:rFonts w:hint="eastAsia" w:ascii="华文中宋" w:hAnsi="华文中宋" w:eastAsia="华文中宋"/>
                <w:b/>
                <w:szCs w:val="21"/>
              </w:rPr>
              <w:t>PCR反应</w:t>
            </w:r>
            <w:r>
              <w:rPr>
                <w:rFonts w:ascii="华文中宋" w:hAnsi="华文中宋" w:eastAsia="华文中宋"/>
                <w:b/>
                <w:spacing w:val="-4"/>
              </w:rPr>
              <w:t>（20μL体系，在样品制备室进行</w:t>
            </w:r>
            <w:r>
              <w:rPr>
                <w:b/>
                <w:spacing w:val="-4"/>
              </w:rPr>
              <w:t>）</w:t>
            </w:r>
          </w:p>
          <w:p>
            <w:pPr>
              <w:numPr>
                <w:ilvl w:val="0"/>
                <w:numId w:val="2"/>
              </w:numPr>
              <w:spacing w:line="468" w:lineRule="exact"/>
              <w:rPr>
                <w:rFonts w:ascii="华文中宋" w:hAnsi="华文中宋" w:eastAsia="华文中宋" w:cs="华文中宋"/>
                <w:color w:val="000000"/>
                <w:spacing w:val="2"/>
                <w:szCs w:val="21"/>
              </w:rPr>
            </w:pPr>
            <w:r>
              <w:rPr>
                <w:rFonts w:hint="eastAsia" w:ascii="华文中宋" w:hAnsi="华文中宋" w:eastAsia="华文中宋" w:cs="华文中宋"/>
                <w:color w:val="000000"/>
                <w:spacing w:val="2"/>
                <w:szCs w:val="21"/>
              </w:rPr>
              <w:t>如果做定量分析并且只做1次重复，则标记N+9个PCR管，其中N+2个用于上步得到的N+2个样品，1个用于PCR阴性对照（用水做模板），6个用于标准曲线。如果做定性分析，并且只做1次重复，则标记N+4个PCR管，其中N+2个用于上步得到的N+2个样品，1个用于PCR阴性对照（用水做模板），1个用于PCR阳性对照（用第4号管中的阳性对照稀释液做模板）。下面只以定量分析为描述操作步骤，</w:t>
            </w:r>
          </w:p>
          <w:p>
            <w:pPr>
              <w:numPr>
                <w:ilvl w:val="0"/>
                <w:numId w:val="2"/>
              </w:numPr>
              <w:spacing w:line="468" w:lineRule="exact"/>
              <w:rPr>
                <w:rFonts w:ascii="华文中宋" w:hAnsi="华文中宋" w:eastAsia="华文中宋" w:cs="华文中宋"/>
                <w:color w:val="000000"/>
                <w:spacing w:val="2"/>
                <w:szCs w:val="21"/>
              </w:rPr>
            </w:pPr>
            <w:r>
              <w:rPr>
                <w:rFonts w:hint="eastAsia" w:ascii="华文中宋" w:hAnsi="华文中宋" w:eastAsia="华文中宋" w:cs="华文中宋"/>
                <w:color w:val="000000"/>
                <w:spacing w:val="2"/>
                <w:szCs w:val="21"/>
              </w:rPr>
              <w:t>在标记管中按下表加入各成分（本表只列出一次重复。样品管和阴性对照设置完毕后才设置阳性对照，并且阳性对照样品要等所有管子盖上盖子储存好后最后加）:</w:t>
            </w:r>
          </w:p>
          <w:tbl>
            <w:tblPr>
              <w:tblStyle w:val="6"/>
              <w:tblpPr w:leftFromText="180" w:rightFromText="180" w:vertAnchor="text" w:horzAnchor="margin" w:tblpXSpec="center" w:tblpY="79"/>
              <w:tblOverlap w:val="never"/>
              <w:tblW w:w="72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1168"/>
              <w:gridCol w:w="1217"/>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986" w:type="dxa"/>
                </w:tcPr>
                <w:p>
                  <w:pPr>
                    <w:pStyle w:val="13"/>
                    <w:spacing w:before="138" w:line="360" w:lineRule="auto"/>
                    <w:ind w:left="133" w:right="123"/>
                    <w:rPr>
                      <w:b/>
                      <w:szCs w:val="21"/>
                    </w:rPr>
                  </w:pPr>
                  <w:r>
                    <w:rPr>
                      <w:b/>
                    </w:rPr>
                    <w:t>成分</w:t>
                  </w:r>
                </w:p>
              </w:tc>
              <w:tc>
                <w:tcPr>
                  <w:tcW w:w="1168" w:type="dxa"/>
                  <w:vAlign w:val="center"/>
                </w:tcPr>
                <w:p>
                  <w:pPr>
                    <w:pStyle w:val="13"/>
                    <w:rPr>
                      <w:b/>
                    </w:rPr>
                  </w:pPr>
                  <w:r>
                    <w:rPr>
                      <w:b/>
                    </w:rPr>
                    <w:t>样品管</w:t>
                  </w:r>
                </w:p>
                <w:p>
                  <w:pPr>
                    <w:pStyle w:val="13"/>
                    <w:rPr>
                      <w:b/>
                      <w:szCs w:val="21"/>
                    </w:rPr>
                  </w:pPr>
                  <w:r>
                    <w:rPr>
                      <w:b/>
                    </w:rPr>
                    <w:t>N+2</w:t>
                  </w:r>
                  <w:r>
                    <w:rPr>
                      <w:b/>
                      <w:spacing w:val="-8"/>
                    </w:rPr>
                    <w:t>个</w:t>
                  </w:r>
                </w:p>
              </w:tc>
              <w:tc>
                <w:tcPr>
                  <w:tcW w:w="1217" w:type="dxa"/>
                  <w:vAlign w:val="center"/>
                </w:tcPr>
                <w:p>
                  <w:pPr>
                    <w:pStyle w:val="13"/>
                    <w:rPr>
                      <w:b/>
                    </w:rPr>
                  </w:pPr>
                  <w:r>
                    <w:rPr>
                      <w:b/>
                    </w:rPr>
                    <w:t>PCR阴性</w:t>
                  </w:r>
                </w:p>
                <w:p>
                  <w:pPr>
                    <w:pStyle w:val="13"/>
                    <w:rPr>
                      <w:b/>
                      <w:szCs w:val="21"/>
                    </w:rPr>
                  </w:pPr>
                  <w:r>
                    <w:rPr>
                      <w:b/>
                    </w:rPr>
                    <w:t>对照管</w:t>
                  </w:r>
                </w:p>
              </w:tc>
              <w:tc>
                <w:tcPr>
                  <w:tcW w:w="1900" w:type="dxa"/>
                  <w:vAlign w:val="center"/>
                </w:tcPr>
                <w:p>
                  <w:pPr>
                    <w:pStyle w:val="13"/>
                    <w:ind w:left="54" w:right="48"/>
                    <w:rPr>
                      <w:b/>
                    </w:rPr>
                  </w:pPr>
                  <w:r>
                    <w:rPr>
                      <w:b/>
                    </w:rPr>
                    <w:t>PCR阳性</w:t>
                  </w:r>
                </w:p>
                <w:p>
                  <w:pPr>
                    <w:pStyle w:val="13"/>
                    <w:ind w:left="68" w:right="48"/>
                    <w:rPr>
                      <w:b/>
                      <w:szCs w:val="21"/>
                    </w:rPr>
                  </w:pPr>
                  <w:r>
                    <w:rPr>
                      <w:b/>
                    </w:rPr>
                    <w:t>对照管（</w:t>
                  </w:r>
                  <w:r>
                    <w:rPr>
                      <w:b/>
                      <w:lang w:val="en-US"/>
                    </w:rPr>
                    <w:t>1</w:t>
                  </w:r>
                  <w:r>
                    <w:rPr>
                      <w:b/>
                    </w:rPr>
                    <w:t>-</w:t>
                  </w:r>
                  <w:r>
                    <w:rPr>
                      <w:rFonts w:hint="eastAsia"/>
                      <w:b/>
                      <w:lang w:val="en-US"/>
                    </w:rPr>
                    <w:t>6</w:t>
                  </w:r>
                  <w:r>
                    <w:rPr>
                      <w:b/>
                    </w:rPr>
                    <w:t>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986" w:type="dxa"/>
                </w:tcPr>
                <w:p>
                  <w:pPr>
                    <w:pStyle w:val="13"/>
                    <w:ind w:left="129" w:right="123"/>
                  </w:pPr>
                  <w:r>
                    <w:rPr>
                      <w:rFonts w:hint="eastAsia"/>
                    </w:rPr>
                    <w:t>探针法qRT-PCR缓冲液</w:t>
                  </w:r>
                </w:p>
              </w:tc>
              <w:tc>
                <w:tcPr>
                  <w:tcW w:w="1168" w:type="dxa"/>
                </w:tcPr>
                <w:p>
                  <w:pPr>
                    <w:pStyle w:val="13"/>
                    <w:spacing w:before="61"/>
                    <w:ind w:left="129" w:right="123"/>
                  </w:pPr>
                  <w:r>
                    <w:rPr>
                      <w:rFonts w:hint="eastAsia"/>
                    </w:rPr>
                    <w:t>10μL</w:t>
                  </w:r>
                </w:p>
              </w:tc>
              <w:tc>
                <w:tcPr>
                  <w:tcW w:w="1217" w:type="dxa"/>
                </w:tcPr>
                <w:p>
                  <w:pPr>
                    <w:pStyle w:val="13"/>
                    <w:spacing w:before="59"/>
                    <w:ind w:left="129" w:right="123"/>
                  </w:pPr>
                  <w:r>
                    <w:rPr>
                      <w:rFonts w:hint="eastAsia"/>
                    </w:rPr>
                    <w:t>10μL</w:t>
                  </w:r>
                </w:p>
              </w:tc>
              <w:tc>
                <w:tcPr>
                  <w:tcW w:w="1900" w:type="dxa"/>
                </w:tcPr>
                <w:p>
                  <w:pPr>
                    <w:pStyle w:val="13"/>
                    <w:spacing w:before="59"/>
                    <w:ind w:left="129" w:right="123"/>
                  </w:pPr>
                  <w:r>
                    <w:rPr>
                      <w:rFonts w:hint="eastAsia"/>
                    </w:rPr>
                    <w:t>各10μL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986" w:type="dxa"/>
                </w:tcPr>
                <w:p>
                  <w:pPr>
                    <w:pStyle w:val="13"/>
                    <w:ind w:left="129" w:right="123"/>
                  </w:pPr>
                  <w:r>
                    <w:rPr>
                      <w:rFonts w:hint="eastAsia"/>
                    </w:rPr>
                    <w:t>探针法qRT-PCR酶混合液</w:t>
                  </w:r>
                </w:p>
              </w:tc>
              <w:tc>
                <w:tcPr>
                  <w:tcW w:w="1168" w:type="dxa"/>
                </w:tcPr>
                <w:p>
                  <w:pPr>
                    <w:pStyle w:val="13"/>
                    <w:spacing w:before="61"/>
                    <w:ind w:left="129" w:right="123"/>
                  </w:pPr>
                  <w:r>
                    <w:rPr>
                      <w:rFonts w:hint="eastAsia"/>
                    </w:rPr>
                    <w:t>2μL</w:t>
                  </w:r>
                </w:p>
              </w:tc>
              <w:tc>
                <w:tcPr>
                  <w:tcW w:w="1217" w:type="dxa"/>
                </w:tcPr>
                <w:p>
                  <w:pPr>
                    <w:pStyle w:val="13"/>
                    <w:spacing w:before="59"/>
                    <w:ind w:left="129" w:right="123"/>
                  </w:pPr>
                  <w:r>
                    <w:rPr>
                      <w:rFonts w:hint="eastAsia"/>
                    </w:rPr>
                    <w:t>2μL</w:t>
                  </w:r>
                </w:p>
              </w:tc>
              <w:tc>
                <w:tcPr>
                  <w:tcW w:w="1900" w:type="dxa"/>
                </w:tcPr>
                <w:p>
                  <w:pPr>
                    <w:pStyle w:val="13"/>
                    <w:spacing w:before="59"/>
                    <w:ind w:left="129" w:right="123"/>
                  </w:pPr>
                  <w:r>
                    <w:rPr>
                      <w:rFonts w:hint="eastAsia"/>
                    </w:rPr>
                    <w:t>各2μL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986" w:type="dxa"/>
                </w:tcPr>
                <w:p>
                  <w:pPr>
                    <w:pStyle w:val="13"/>
                    <w:ind w:left="129" w:right="123"/>
                  </w:pPr>
                  <w:r>
                    <w:t>HTLV病毒探针法qRT-PCR引物</w:t>
                  </w:r>
                  <w:r>
                    <w:rPr>
                      <w:rFonts w:hint="eastAsia"/>
                    </w:rPr>
                    <w:t>-探针混合液</w:t>
                  </w:r>
                </w:p>
              </w:tc>
              <w:tc>
                <w:tcPr>
                  <w:tcW w:w="1168" w:type="dxa"/>
                  <w:vAlign w:val="center"/>
                </w:tcPr>
                <w:p>
                  <w:pPr>
                    <w:pStyle w:val="13"/>
                    <w:spacing w:before="57"/>
                    <w:ind w:left="129" w:right="123"/>
                  </w:pPr>
                  <w:r>
                    <w:t>3μL</w:t>
                  </w:r>
                </w:p>
              </w:tc>
              <w:tc>
                <w:tcPr>
                  <w:tcW w:w="1217" w:type="dxa"/>
                  <w:vAlign w:val="center"/>
                </w:tcPr>
                <w:p>
                  <w:pPr>
                    <w:pStyle w:val="13"/>
                    <w:spacing w:before="57"/>
                    <w:ind w:left="129" w:right="123"/>
                  </w:pPr>
                  <w:r>
                    <w:t>3μL</w:t>
                  </w:r>
                </w:p>
              </w:tc>
              <w:tc>
                <w:tcPr>
                  <w:tcW w:w="1900" w:type="dxa"/>
                  <w:vAlign w:val="center"/>
                </w:tcPr>
                <w:p>
                  <w:pPr>
                    <w:pStyle w:val="13"/>
                    <w:spacing w:before="57"/>
                    <w:ind w:left="129" w:right="123"/>
                  </w:pPr>
                  <w:r>
                    <w:t>各3μL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986" w:type="dxa"/>
                </w:tcPr>
                <w:p>
                  <w:pPr>
                    <w:pStyle w:val="13"/>
                    <w:spacing w:before="59" w:line="360" w:lineRule="auto"/>
                    <w:ind w:left="232" w:right="123"/>
                    <w:rPr>
                      <w:bCs/>
                      <w:szCs w:val="21"/>
                    </w:rPr>
                  </w:pPr>
                  <w:r>
                    <w:t>N+2个待测RNA模板</w:t>
                  </w:r>
                </w:p>
              </w:tc>
              <w:tc>
                <w:tcPr>
                  <w:tcW w:w="1168" w:type="dxa"/>
                </w:tcPr>
                <w:p>
                  <w:pPr>
                    <w:pStyle w:val="13"/>
                    <w:spacing w:before="59" w:line="360" w:lineRule="auto"/>
                    <w:ind w:left="244" w:right="235"/>
                    <w:rPr>
                      <w:szCs w:val="21"/>
                    </w:rPr>
                  </w:pPr>
                  <w:r>
                    <w:rPr>
                      <w:lang w:val="en-US"/>
                    </w:rPr>
                    <w:t>5</w:t>
                  </w:r>
                  <w:r>
                    <w:t>μL</w:t>
                  </w:r>
                </w:p>
              </w:tc>
              <w:tc>
                <w:tcPr>
                  <w:tcW w:w="1217" w:type="dxa"/>
                </w:tcPr>
                <w:p>
                  <w:pPr>
                    <w:pStyle w:val="13"/>
                    <w:spacing w:before="59" w:line="360" w:lineRule="auto"/>
                    <w:ind w:left="40"/>
                    <w:rPr>
                      <w:szCs w:val="21"/>
                    </w:rPr>
                  </w:pPr>
                  <w:r>
                    <w:t>-</w:t>
                  </w:r>
                </w:p>
              </w:tc>
              <w:tc>
                <w:tcPr>
                  <w:tcW w:w="1900" w:type="dxa"/>
                </w:tcPr>
                <w:p>
                  <w:pPr>
                    <w:pStyle w:val="13"/>
                    <w:spacing w:before="59" w:line="360" w:lineRule="auto"/>
                    <w:ind w:left="40"/>
                    <w:rPr>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986" w:type="dxa"/>
                </w:tcPr>
                <w:p>
                  <w:pPr>
                    <w:pStyle w:val="13"/>
                    <w:spacing w:before="59" w:line="360" w:lineRule="auto"/>
                    <w:ind w:left="131" w:right="123"/>
                    <w:rPr>
                      <w:szCs w:val="21"/>
                    </w:rPr>
                  </w:pPr>
                  <w:r>
                    <w:t>超纯水</w:t>
                  </w:r>
                </w:p>
              </w:tc>
              <w:tc>
                <w:tcPr>
                  <w:tcW w:w="1168" w:type="dxa"/>
                </w:tcPr>
                <w:p>
                  <w:pPr>
                    <w:pStyle w:val="13"/>
                    <w:spacing w:before="59" w:line="360" w:lineRule="auto"/>
                    <w:ind w:left="7"/>
                    <w:rPr>
                      <w:szCs w:val="21"/>
                    </w:rPr>
                  </w:pPr>
                  <w:r>
                    <w:t>-</w:t>
                  </w:r>
                </w:p>
              </w:tc>
              <w:tc>
                <w:tcPr>
                  <w:tcW w:w="1217" w:type="dxa"/>
                </w:tcPr>
                <w:p>
                  <w:pPr>
                    <w:pStyle w:val="13"/>
                    <w:spacing w:before="59" w:line="360" w:lineRule="auto"/>
                    <w:ind w:left="43"/>
                    <w:rPr>
                      <w:szCs w:val="21"/>
                    </w:rPr>
                  </w:pPr>
                  <w:r>
                    <w:rPr>
                      <w:lang w:val="en-US"/>
                    </w:rPr>
                    <w:t>5</w:t>
                  </w:r>
                  <w:r>
                    <w:t>μL</w:t>
                  </w:r>
                </w:p>
              </w:tc>
              <w:tc>
                <w:tcPr>
                  <w:tcW w:w="1900" w:type="dxa"/>
                </w:tcPr>
                <w:p>
                  <w:pPr>
                    <w:pStyle w:val="13"/>
                    <w:spacing w:before="59" w:line="360" w:lineRule="auto"/>
                    <w:ind w:left="40"/>
                    <w:rPr>
                      <w:szCs w:val="21"/>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2986" w:type="dxa"/>
                  <w:vAlign w:val="center"/>
                </w:tcPr>
                <w:p>
                  <w:pPr>
                    <w:pStyle w:val="13"/>
                    <w:ind w:left="129" w:right="123"/>
                  </w:pPr>
                  <w:r>
                    <w:t>第7步所得</w:t>
                  </w:r>
                  <w:r>
                    <w:rPr>
                      <w:rFonts w:hint="eastAsia"/>
                    </w:rPr>
                    <w:t>标准曲线样品稀释液</w:t>
                  </w:r>
                  <w:r>
                    <w:t>（1-</w:t>
                  </w:r>
                  <w:r>
                    <w:rPr>
                      <w:rFonts w:hint="eastAsia"/>
                    </w:rPr>
                    <w:t>6</w:t>
                  </w:r>
                  <w:r>
                    <w:t>号）</w:t>
                  </w:r>
                </w:p>
              </w:tc>
              <w:tc>
                <w:tcPr>
                  <w:tcW w:w="1168" w:type="dxa"/>
                  <w:vAlign w:val="center"/>
                </w:tcPr>
                <w:p>
                  <w:pPr>
                    <w:pStyle w:val="13"/>
                    <w:ind w:left="129" w:right="123"/>
                  </w:pPr>
                  <w:r>
                    <w:t>-</w:t>
                  </w:r>
                </w:p>
              </w:tc>
              <w:tc>
                <w:tcPr>
                  <w:tcW w:w="1217" w:type="dxa"/>
                  <w:vAlign w:val="center"/>
                </w:tcPr>
                <w:p>
                  <w:pPr>
                    <w:pStyle w:val="13"/>
                    <w:ind w:left="129" w:right="123"/>
                  </w:pPr>
                  <w:r>
                    <w:t>-</w:t>
                  </w:r>
                </w:p>
              </w:tc>
              <w:tc>
                <w:tcPr>
                  <w:tcW w:w="1900" w:type="dxa"/>
                </w:tcPr>
                <w:p>
                  <w:pPr>
                    <w:pStyle w:val="13"/>
                    <w:ind w:left="129" w:right="123"/>
                    <w:jc w:val="both"/>
                  </w:pPr>
                  <w:r>
                    <w:t>各5μL（1号样到1号管，2号样到2号管…）</w:t>
                  </w:r>
                </w:p>
              </w:tc>
            </w:tr>
          </w:tbl>
          <w:p>
            <w:pPr>
              <w:numPr>
                <w:ilvl w:val="0"/>
                <w:numId w:val="2"/>
              </w:numPr>
              <w:spacing w:line="468" w:lineRule="exact"/>
              <w:rPr>
                <w:rFonts w:ascii="华文中宋" w:hAnsi="华文中宋" w:eastAsia="华文中宋" w:cs="华文中宋"/>
                <w:color w:val="000000"/>
                <w:spacing w:val="2"/>
                <w:szCs w:val="21"/>
              </w:rPr>
            </w:pPr>
            <w:r>
              <w:rPr>
                <w:rFonts w:hint="eastAsia" w:ascii="华文中宋" w:hAnsi="华文中宋" w:eastAsia="华文中宋" w:cs="华文中宋"/>
                <w:color w:val="000000"/>
                <w:spacing w:val="2"/>
                <w:szCs w:val="21"/>
              </w:rPr>
              <w:t>盖上盖子后上机，按下面参数进行</w:t>
            </w:r>
            <w:r>
              <w:rPr>
                <w:rFonts w:ascii="华文中宋" w:hAnsi="华文中宋" w:eastAsia="华文中宋" w:cs="华文中宋"/>
                <w:color w:val="000000"/>
                <w:spacing w:val="2"/>
                <w:szCs w:val="21"/>
              </w:rPr>
              <w:t>qRT-</w:t>
            </w:r>
            <w:r>
              <w:rPr>
                <w:rFonts w:hint="eastAsia" w:ascii="华文中宋" w:hAnsi="华文中宋" w:eastAsia="华文中宋" w:cs="华文中宋"/>
                <w:color w:val="000000"/>
                <w:spacing w:val="2"/>
                <w:szCs w:val="21"/>
              </w:rPr>
              <w:t>PCR:</w:t>
            </w:r>
          </w:p>
          <w:tbl>
            <w:tblPr>
              <w:tblStyle w:val="6"/>
              <w:tblW w:w="0" w:type="auto"/>
              <w:tblInd w:w="3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8"/>
              <w:gridCol w:w="1392"/>
              <w:gridCol w:w="3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858" w:type="dxa"/>
                  <w:vAlign w:val="center"/>
                </w:tcPr>
                <w:p>
                  <w:pPr>
                    <w:pStyle w:val="13"/>
                    <w:spacing w:before="68"/>
                    <w:ind w:left="223" w:right="103"/>
                    <w:rPr>
                      <w:b/>
                    </w:rPr>
                  </w:pPr>
                  <w:r>
                    <w:rPr>
                      <w:b/>
                    </w:rPr>
                    <w:t>过程</w:t>
                  </w:r>
                </w:p>
              </w:tc>
              <w:tc>
                <w:tcPr>
                  <w:tcW w:w="1392" w:type="dxa"/>
                  <w:vAlign w:val="center"/>
                </w:tcPr>
                <w:p>
                  <w:pPr>
                    <w:pStyle w:val="13"/>
                    <w:spacing w:before="68"/>
                    <w:ind w:left="444" w:right="428"/>
                    <w:rPr>
                      <w:b/>
                    </w:rPr>
                  </w:pPr>
                  <w:r>
                    <w:rPr>
                      <w:b/>
                    </w:rPr>
                    <w:t>温度</w:t>
                  </w:r>
                </w:p>
              </w:tc>
              <w:tc>
                <w:tcPr>
                  <w:tcW w:w="3888" w:type="dxa"/>
                  <w:vAlign w:val="center"/>
                </w:tcPr>
                <w:p>
                  <w:pPr>
                    <w:pStyle w:val="13"/>
                    <w:spacing w:before="68"/>
                    <w:ind w:left="110" w:right="95"/>
                    <w:rPr>
                      <w:b/>
                    </w:rPr>
                  </w:pPr>
                  <w:r>
                    <w:rPr>
                      <w:b/>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858" w:type="dxa"/>
                  <w:vAlign w:val="center"/>
                </w:tcPr>
                <w:p>
                  <w:pPr>
                    <w:pStyle w:val="13"/>
                    <w:spacing w:before="70"/>
                    <w:ind w:right="103"/>
                  </w:pPr>
                  <w:r>
                    <w:rPr>
                      <w:rFonts w:hint="eastAsia"/>
                    </w:rPr>
                    <w:t>逆转录</w:t>
                  </w:r>
                </w:p>
              </w:tc>
              <w:tc>
                <w:tcPr>
                  <w:tcW w:w="1392" w:type="dxa"/>
                  <w:vAlign w:val="center"/>
                </w:tcPr>
                <w:p>
                  <w:pPr>
                    <w:pStyle w:val="13"/>
                    <w:spacing w:before="70"/>
                    <w:ind w:left="446" w:right="428"/>
                  </w:pPr>
                  <w:r>
                    <w:rPr>
                      <w:lang w:val="en-US"/>
                    </w:rPr>
                    <w:t>42</w:t>
                  </w:r>
                  <w:r>
                    <w:rPr>
                      <w:rFonts w:hint="eastAsia"/>
                      <w:lang w:val="en-US"/>
                    </w:rPr>
                    <w:t>℃</w:t>
                  </w:r>
                </w:p>
              </w:tc>
              <w:tc>
                <w:tcPr>
                  <w:tcW w:w="3888" w:type="dxa"/>
                  <w:vAlign w:val="center"/>
                </w:tcPr>
                <w:p>
                  <w:pPr>
                    <w:pStyle w:val="13"/>
                    <w:spacing w:before="70"/>
                    <w:ind w:left="110" w:right="94"/>
                  </w:pPr>
                  <w:r>
                    <w:rPr>
                      <w:rFonts w:hint="eastAsia"/>
                      <w:lang w:val="en-US"/>
                    </w:rPr>
                    <w:t>30min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858" w:type="dxa"/>
                  <w:vAlign w:val="center"/>
                </w:tcPr>
                <w:p>
                  <w:pPr>
                    <w:pStyle w:val="13"/>
                    <w:ind w:right="123"/>
                  </w:pPr>
                  <w:r>
                    <w:t>预变性</w:t>
                  </w:r>
                </w:p>
              </w:tc>
              <w:tc>
                <w:tcPr>
                  <w:tcW w:w="1392" w:type="dxa"/>
                  <w:vAlign w:val="center"/>
                </w:tcPr>
                <w:p>
                  <w:pPr>
                    <w:pStyle w:val="13"/>
                    <w:spacing w:before="68"/>
                    <w:ind w:left="445" w:right="428"/>
                  </w:pPr>
                  <w:r>
                    <w:t>9</w:t>
                  </w:r>
                  <w:r>
                    <w:rPr>
                      <w:rFonts w:hint="eastAsia"/>
                      <w:lang w:val="en-US"/>
                    </w:rPr>
                    <w:t>4</w:t>
                  </w:r>
                  <w:r>
                    <w:t>℃</w:t>
                  </w:r>
                </w:p>
              </w:tc>
              <w:tc>
                <w:tcPr>
                  <w:tcW w:w="3888" w:type="dxa"/>
                  <w:vAlign w:val="center"/>
                </w:tcPr>
                <w:p>
                  <w:pPr>
                    <w:pStyle w:val="13"/>
                    <w:spacing w:before="68"/>
                    <w:ind w:left="110" w:right="95"/>
                  </w:pPr>
                  <w:r>
                    <w:rPr>
                      <w:rFonts w:hint="eastAsia"/>
                      <w:lang w:val="en-US"/>
                    </w:rPr>
                    <w:t>10</w:t>
                  </w:r>
                  <w:r>
                    <w:t>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858" w:type="dxa"/>
                  <w:vMerge w:val="restart"/>
                  <w:vAlign w:val="center"/>
                </w:tcPr>
                <w:p>
                  <w:pPr>
                    <w:pStyle w:val="13"/>
                    <w:ind w:right="123"/>
                  </w:pPr>
                  <w:r>
                    <w:t>PCR</w:t>
                  </w:r>
                  <w:r>
                    <w:rPr>
                      <w:rFonts w:hint="eastAsia"/>
                    </w:rPr>
                    <w:t>反应</w:t>
                  </w:r>
                </w:p>
                <w:p>
                  <w:pPr>
                    <w:pStyle w:val="13"/>
                    <w:ind w:right="123"/>
                  </w:pPr>
                  <w:r>
                    <w:rPr>
                      <w:rFonts w:hint="eastAsia"/>
                    </w:rPr>
                    <w:t>（4</w:t>
                  </w:r>
                  <w:r>
                    <w:t>5</w:t>
                  </w:r>
                  <w:r>
                    <w:rPr>
                      <w:rFonts w:hint="eastAsia"/>
                    </w:rPr>
                    <w:t>个循环）</w:t>
                  </w:r>
                </w:p>
              </w:tc>
              <w:tc>
                <w:tcPr>
                  <w:tcW w:w="1392" w:type="dxa"/>
                  <w:vAlign w:val="center"/>
                </w:tcPr>
                <w:p>
                  <w:pPr>
                    <w:pStyle w:val="13"/>
                    <w:spacing w:before="68"/>
                    <w:ind w:left="445" w:right="428"/>
                  </w:pPr>
                  <w:r>
                    <w:t>9</w:t>
                  </w:r>
                  <w:r>
                    <w:rPr>
                      <w:rFonts w:hint="eastAsia"/>
                      <w:lang w:val="en-US"/>
                    </w:rPr>
                    <w:t>4</w:t>
                  </w:r>
                  <w:r>
                    <w:t>℃</w:t>
                  </w:r>
                </w:p>
              </w:tc>
              <w:tc>
                <w:tcPr>
                  <w:tcW w:w="3888" w:type="dxa"/>
                  <w:vAlign w:val="center"/>
                </w:tcPr>
                <w:p>
                  <w:pPr>
                    <w:pStyle w:val="13"/>
                    <w:spacing w:before="68"/>
                    <w:ind w:left="110" w:right="95"/>
                    <w:rPr>
                      <w:lang w:val="en-US"/>
                    </w:rPr>
                  </w:pPr>
                  <w:r>
                    <w:t>15sec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1858" w:type="dxa"/>
                  <w:vMerge w:val="continue"/>
                  <w:vAlign w:val="center"/>
                </w:tcPr>
                <w:p>
                  <w:pPr>
                    <w:pStyle w:val="13"/>
                    <w:ind w:right="123"/>
                  </w:pPr>
                </w:p>
              </w:tc>
              <w:tc>
                <w:tcPr>
                  <w:tcW w:w="1392" w:type="dxa"/>
                  <w:vAlign w:val="center"/>
                </w:tcPr>
                <w:p>
                  <w:pPr>
                    <w:pStyle w:val="13"/>
                    <w:spacing w:before="68"/>
                    <w:ind w:left="445" w:right="428"/>
                  </w:pPr>
                  <w:r>
                    <w:rPr>
                      <w:rFonts w:hint="eastAsia"/>
                      <w:lang w:val="en-US"/>
                    </w:rPr>
                    <w:t>55</w:t>
                  </w:r>
                  <w:r>
                    <w:t>℃</w:t>
                  </w:r>
                </w:p>
              </w:tc>
              <w:tc>
                <w:tcPr>
                  <w:tcW w:w="3888" w:type="dxa"/>
                  <w:vAlign w:val="center"/>
                </w:tcPr>
                <w:p>
                  <w:pPr>
                    <w:pStyle w:val="13"/>
                    <w:spacing w:before="68"/>
                    <w:ind w:left="110" w:right="95"/>
                    <w:rPr>
                      <w:lang w:val="en-US"/>
                    </w:rPr>
                  </w:pPr>
                  <w:r>
                    <w:rPr>
                      <w:rFonts w:hint="eastAsia"/>
                      <w:lang w:val="en-US"/>
                    </w:rPr>
                    <w:t>30sec</w:t>
                  </w:r>
                  <w:r>
                    <w:t>（</w:t>
                  </w:r>
                  <w:r>
                    <w:rPr>
                      <w:spacing w:val="-5"/>
                    </w:rPr>
                    <w:t>采集</w:t>
                  </w:r>
                  <w:r>
                    <w:rPr>
                      <w:rFonts w:hint="eastAsia"/>
                      <w:lang w:val="en-US"/>
                    </w:rPr>
                    <w:t>FAM</w:t>
                  </w:r>
                  <w:r>
                    <w:rPr>
                      <w:spacing w:val="-5"/>
                    </w:rPr>
                    <w:t>通道的荧光信号</w:t>
                  </w:r>
                  <w:r>
                    <w:rPr>
                      <w:rFonts w:hint="eastAsia"/>
                      <w:spacing w:val="-5"/>
                      <w:lang w:val="en-US"/>
                    </w:rPr>
                    <w:t>，</w:t>
                  </w:r>
                  <w:r>
                    <w:rPr>
                      <w:rFonts w:hint="eastAsia"/>
                      <w:szCs w:val="21"/>
                      <w:lang w:val="en-US"/>
                    </w:rPr>
                    <w:t>BHQ1</w:t>
                  </w:r>
                  <w:r>
                    <w:rPr>
                      <w:rFonts w:hint="eastAsia"/>
                      <w:szCs w:val="21"/>
                    </w:rPr>
                    <w:t>为淬灭基团</w:t>
                  </w:r>
                  <w:r>
                    <w:t>）</w:t>
                  </w:r>
                </w:p>
              </w:tc>
            </w:tr>
          </w:tbl>
          <w:p>
            <w:pPr>
              <w:spacing w:line="468" w:lineRule="exact"/>
              <w:rPr>
                <w:rFonts w:ascii="华文中宋" w:hAnsi="华文中宋" w:eastAsia="华文中宋"/>
                <w:b/>
                <w:szCs w:val="21"/>
              </w:rPr>
            </w:pPr>
            <w:r>
              <w:rPr>
                <w:rFonts w:hint="eastAsia" w:ascii="华文中宋" w:hAnsi="华文中宋" w:eastAsia="华文中宋"/>
                <w:b/>
                <w:szCs w:val="21"/>
              </w:rPr>
              <w:t>四、数据处理</w:t>
            </w:r>
          </w:p>
          <w:p>
            <w:pPr>
              <w:numPr>
                <w:ilvl w:val="0"/>
                <w:numId w:val="2"/>
              </w:numPr>
              <w:spacing w:line="468" w:lineRule="exact"/>
              <w:rPr>
                <w:rFonts w:ascii="华文中宋" w:hAnsi="华文中宋" w:eastAsia="华文中宋" w:cs="华文中宋"/>
                <w:color w:val="000000"/>
                <w:spacing w:val="2"/>
                <w:szCs w:val="21"/>
              </w:rPr>
            </w:pPr>
            <w:r>
              <w:rPr>
                <w:rFonts w:hint="eastAsia" w:ascii="华文中宋" w:hAnsi="华文中宋" w:eastAsia="华文中宋" w:cs="华文中宋"/>
                <w:color w:val="000000"/>
                <w:spacing w:val="2"/>
                <w:szCs w:val="21"/>
              </w:rPr>
              <w:t>如果把本试剂盒用于定量检测，则以阳性对照浓度的log值为横轴，以Ct值为纵轴，绘制标准曲线。再以待测样品的Ct值从标准曲线上推算出样品RNA浓度的log值，再推算出其浓度。</w:t>
            </w:r>
          </w:p>
          <w:p>
            <w:pPr>
              <w:numPr>
                <w:ilvl w:val="0"/>
                <w:numId w:val="2"/>
              </w:numPr>
              <w:spacing w:line="468" w:lineRule="exact"/>
              <w:rPr>
                <w:rFonts w:ascii="华文中宋" w:hAnsi="华文中宋" w:eastAsia="华文中宋" w:cs="华文中宋"/>
                <w:color w:val="000000"/>
                <w:spacing w:val="2"/>
                <w:szCs w:val="21"/>
              </w:rPr>
            </w:pPr>
            <w:r>
              <w:rPr>
                <w:rFonts w:hint="eastAsia" w:ascii="华文中宋" w:hAnsi="华文中宋" w:eastAsia="华文中宋" w:cs="华文中宋"/>
                <w:color w:val="000000"/>
                <w:spacing w:val="2"/>
                <w:szCs w:val="21"/>
              </w:rPr>
              <w:t>如果把本试剂盒用于定性检测，只判断阳性或阴性，则阴性对照必须没有Ct或者Ct大于或等于40。阳性对照必须有荧光对数增长，有典型扩增曲线，Ct值应该小于或等于</w:t>
            </w:r>
            <w:r>
              <w:rPr>
                <w:rFonts w:ascii="华文中宋" w:hAnsi="华文中宋" w:eastAsia="华文中宋" w:cs="华文中宋"/>
                <w:color w:val="000000"/>
                <w:spacing w:val="2"/>
                <w:szCs w:val="21"/>
              </w:rPr>
              <w:t>40</w:t>
            </w:r>
            <w:r>
              <w:rPr>
                <w:rFonts w:hint="eastAsia" w:ascii="华文中宋" w:hAnsi="华文中宋" w:eastAsia="华文中宋" w:cs="华文中宋"/>
                <w:color w:val="000000"/>
                <w:spacing w:val="2"/>
                <w:szCs w:val="21"/>
              </w:rPr>
              <w:t>。对待测样品，如果其没有Ct或者Ct大于或等于40则为阴性，如果小于或等于</w:t>
            </w:r>
            <w:r>
              <w:rPr>
                <w:rFonts w:ascii="华文中宋" w:hAnsi="华文中宋" w:eastAsia="华文中宋" w:cs="华文中宋"/>
                <w:color w:val="000000"/>
                <w:spacing w:val="2"/>
                <w:szCs w:val="21"/>
              </w:rPr>
              <w:t>40</w:t>
            </w:r>
            <w:r>
              <w:rPr>
                <w:rFonts w:hint="eastAsia" w:ascii="华文中宋" w:hAnsi="华文中宋" w:eastAsia="华文中宋" w:cs="华文中宋"/>
                <w:color w:val="000000"/>
                <w:spacing w:val="2"/>
                <w:szCs w:val="21"/>
              </w:rPr>
              <w:t>则为阳性。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562" w:type="dxa"/>
            <w:gridSpan w:val="3"/>
            <w:tcBorders>
              <w:bottom w:val="single" w:color="auto" w:sz="4" w:space="0"/>
            </w:tcBorders>
          </w:tcPr>
          <w:p>
            <w:pPr>
              <w:spacing w:line="360" w:lineRule="auto"/>
              <w:jc w:val="right"/>
              <w:rPr>
                <w:rFonts w:ascii="华文中宋" w:hAnsi="华文中宋" w:eastAsia="华文中宋"/>
                <w:b/>
                <w:sz w:val="28"/>
                <w:szCs w:val="28"/>
              </w:rPr>
            </w:pPr>
            <w:r>
              <w:rPr>
                <w:rFonts w:hint="eastAsia" w:ascii="华文中宋" w:hAnsi="华文中宋" w:eastAsia="华文中宋"/>
                <w:b/>
                <w:sz w:val="28"/>
                <w:szCs w:val="28"/>
              </w:rPr>
              <w:t>关联产品</w:t>
            </w:r>
          </w:p>
        </w:tc>
        <w:tc>
          <w:tcPr>
            <w:tcW w:w="8315" w:type="dxa"/>
            <w:gridSpan w:val="4"/>
            <w:tcBorders>
              <w:bottom w:val="single" w:color="auto" w:sz="4" w:space="0"/>
            </w:tcBorders>
            <w:vAlign w:val="center"/>
          </w:tcPr>
          <w:p>
            <w:pPr>
              <w:spacing w:line="360" w:lineRule="auto"/>
              <w:rPr>
                <w:rFonts w:ascii="华文中宋" w:hAnsi="华文中宋" w:eastAsia="华文中宋" w:cs="华文中宋"/>
                <w:szCs w:val="21"/>
              </w:rPr>
            </w:pPr>
            <w:r>
              <w:rPr>
                <w:rFonts w:ascii="华文中宋" w:hAnsi="华文中宋" w:eastAsia="华文中宋" w:cs="华文中宋"/>
                <w:szCs w:val="21"/>
              </w:rPr>
              <w:t>HTLV</w:t>
            </w:r>
            <w:r>
              <w:rPr>
                <w:rFonts w:hint="eastAsia" w:ascii="华文中宋" w:hAnsi="华文中宋" w:eastAsia="华文中宋" w:cs="华文中宋"/>
                <w:szCs w:val="21"/>
              </w:rPr>
              <w:t>病毒通用可视化R</w:t>
            </w:r>
            <w:r>
              <w:rPr>
                <w:rFonts w:ascii="华文中宋" w:hAnsi="华文中宋" w:eastAsia="华文中宋" w:cs="华文中宋"/>
                <w:szCs w:val="21"/>
              </w:rPr>
              <w:t>T-</w:t>
            </w:r>
            <w:r>
              <w:rPr>
                <w:rFonts w:hint="eastAsia" w:ascii="华文中宋" w:hAnsi="华文中宋" w:eastAsia="华文中宋" w:cs="华文中宋"/>
                <w:szCs w:val="21"/>
              </w:rPr>
              <w:t>LAMP检测试剂盒</w:t>
            </w:r>
          </w:p>
        </w:tc>
      </w:tr>
    </w:tbl>
    <w:p>
      <w:pPr>
        <w:jc w:val="right"/>
        <w:rPr>
          <w:sz w:val="10"/>
          <w:szCs w:val="10"/>
        </w:rPr>
      </w:pPr>
      <w:r>
        <w:rPr>
          <w:rFonts w:hint="eastAsia"/>
          <w:sz w:val="10"/>
          <w:szCs w:val="10"/>
        </w:rPr>
        <w:t>20</w:t>
      </w:r>
      <w:r>
        <w:rPr>
          <w:sz w:val="10"/>
          <w:szCs w:val="10"/>
        </w:rPr>
        <w:t>210514</w:t>
      </w:r>
      <w:r>
        <w:rPr>
          <w:rFonts w:hint="eastAsia"/>
          <w:sz w:val="10"/>
          <w:szCs w:val="10"/>
        </w:rPr>
        <w:t>wt</w:t>
      </w:r>
    </w:p>
    <w:p/>
    <w:sectPr>
      <w:headerReference r:id="rId3" w:type="default"/>
      <w:footerReference r:id="rId4" w:type="default"/>
      <w:pgSz w:w="11906" w:h="16838"/>
      <w:pgMar w:top="1090" w:right="1800" w:bottom="623" w:left="1800" w:header="851" w:footer="34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4D7C62"/>
    <w:multiLevelType w:val="singleLevel"/>
    <w:tmpl w:val="A64D7C62"/>
    <w:lvl w:ilvl="0" w:tentative="0">
      <w:start w:val="1"/>
      <w:numFmt w:val="decimal"/>
      <w:lvlText w:val="%1."/>
      <w:lvlJc w:val="left"/>
      <w:pPr>
        <w:ind w:left="425" w:hanging="425"/>
      </w:pPr>
      <w:rPr>
        <w:rFonts w:hint="default"/>
      </w:rPr>
    </w:lvl>
  </w:abstractNum>
  <w:abstractNum w:abstractNumId="1">
    <w:nsid w:val="011C3B8C"/>
    <w:multiLevelType w:val="multilevel"/>
    <w:tmpl w:val="011C3B8C"/>
    <w:lvl w:ilvl="0" w:tentative="0">
      <w:start w:val="1"/>
      <w:numFmt w:val="decimal"/>
      <w:lvlText w:val="%1."/>
      <w:lvlJc w:val="left"/>
      <w:pPr>
        <w:tabs>
          <w:tab w:val="left" w:pos="420"/>
        </w:tabs>
        <w:ind w:left="420" w:hanging="420"/>
      </w:pPr>
      <w:rPr>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Q2YzllZmZhODIyMDU0MGFmODMxZGRjNjJjNjI0NmYifQ=="/>
  </w:docVars>
  <w:rsids>
    <w:rsidRoot w:val="00441715"/>
    <w:rsid w:val="000174B3"/>
    <w:rsid w:val="00030F7C"/>
    <w:rsid w:val="00045640"/>
    <w:rsid w:val="00053A24"/>
    <w:rsid w:val="000647C8"/>
    <w:rsid w:val="0006502F"/>
    <w:rsid w:val="000802AC"/>
    <w:rsid w:val="000A2F40"/>
    <w:rsid w:val="000A4D79"/>
    <w:rsid w:val="000B2F0E"/>
    <w:rsid w:val="000B4826"/>
    <w:rsid w:val="000D4B17"/>
    <w:rsid w:val="000E0975"/>
    <w:rsid w:val="000F7E74"/>
    <w:rsid w:val="00111411"/>
    <w:rsid w:val="00121BF6"/>
    <w:rsid w:val="00130868"/>
    <w:rsid w:val="00132E0A"/>
    <w:rsid w:val="001536E5"/>
    <w:rsid w:val="00155F89"/>
    <w:rsid w:val="0017018D"/>
    <w:rsid w:val="00177323"/>
    <w:rsid w:val="00177B14"/>
    <w:rsid w:val="001857F1"/>
    <w:rsid w:val="001C28B5"/>
    <w:rsid w:val="001C3AD3"/>
    <w:rsid w:val="001F22DF"/>
    <w:rsid w:val="001F2FAE"/>
    <w:rsid w:val="001F7836"/>
    <w:rsid w:val="00212646"/>
    <w:rsid w:val="00221D70"/>
    <w:rsid w:val="002238B5"/>
    <w:rsid w:val="00230B6E"/>
    <w:rsid w:val="0025099D"/>
    <w:rsid w:val="00260198"/>
    <w:rsid w:val="00271098"/>
    <w:rsid w:val="002753C9"/>
    <w:rsid w:val="00280450"/>
    <w:rsid w:val="00284FC4"/>
    <w:rsid w:val="00295987"/>
    <w:rsid w:val="002C4BB8"/>
    <w:rsid w:val="002D44CD"/>
    <w:rsid w:val="002E0159"/>
    <w:rsid w:val="002E4902"/>
    <w:rsid w:val="0031112F"/>
    <w:rsid w:val="003152A0"/>
    <w:rsid w:val="00331510"/>
    <w:rsid w:val="00343201"/>
    <w:rsid w:val="00370A34"/>
    <w:rsid w:val="003B62DE"/>
    <w:rsid w:val="003E1678"/>
    <w:rsid w:val="0042701D"/>
    <w:rsid w:val="004311E2"/>
    <w:rsid w:val="00441715"/>
    <w:rsid w:val="004803F8"/>
    <w:rsid w:val="004814A8"/>
    <w:rsid w:val="004A683A"/>
    <w:rsid w:val="004C27A0"/>
    <w:rsid w:val="004C5BE9"/>
    <w:rsid w:val="004D21BD"/>
    <w:rsid w:val="004D37A0"/>
    <w:rsid w:val="004D497C"/>
    <w:rsid w:val="004E5E0A"/>
    <w:rsid w:val="004F49EA"/>
    <w:rsid w:val="004F6BF0"/>
    <w:rsid w:val="00514AF6"/>
    <w:rsid w:val="005151BA"/>
    <w:rsid w:val="00515B69"/>
    <w:rsid w:val="00516E86"/>
    <w:rsid w:val="00523C29"/>
    <w:rsid w:val="00534C1E"/>
    <w:rsid w:val="0057403D"/>
    <w:rsid w:val="0057538A"/>
    <w:rsid w:val="005A4F2F"/>
    <w:rsid w:val="005B0385"/>
    <w:rsid w:val="005B3446"/>
    <w:rsid w:val="005C23BF"/>
    <w:rsid w:val="005C5E86"/>
    <w:rsid w:val="005D1E1B"/>
    <w:rsid w:val="005F0056"/>
    <w:rsid w:val="005F37AA"/>
    <w:rsid w:val="005F3955"/>
    <w:rsid w:val="00603F68"/>
    <w:rsid w:val="006309D4"/>
    <w:rsid w:val="00634D74"/>
    <w:rsid w:val="00646C20"/>
    <w:rsid w:val="006528C9"/>
    <w:rsid w:val="00654962"/>
    <w:rsid w:val="00655379"/>
    <w:rsid w:val="006A0E13"/>
    <w:rsid w:val="006B0483"/>
    <w:rsid w:val="006B5BB9"/>
    <w:rsid w:val="006C21C7"/>
    <w:rsid w:val="006F2746"/>
    <w:rsid w:val="00707085"/>
    <w:rsid w:val="007413DD"/>
    <w:rsid w:val="00750700"/>
    <w:rsid w:val="007616EA"/>
    <w:rsid w:val="0077491C"/>
    <w:rsid w:val="00791A3C"/>
    <w:rsid w:val="007B3F92"/>
    <w:rsid w:val="007E5677"/>
    <w:rsid w:val="0082566B"/>
    <w:rsid w:val="00826139"/>
    <w:rsid w:val="00835870"/>
    <w:rsid w:val="00847369"/>
    <w:rsid w:val="00856296"/>
    <w:rsid w:val="00875E64"/>
    <w:rsid w:val="00880C19"/>
    <w:rsid w:val="0089039D"/>
    <w:rsid w:val="00895777"/>
    <w:rsid w:val="008A3FA1"/>
    <w:rsid w:val="008D2AF1"/>
    <w:rsid w:val="008D2B97"/>
    <w:rsid w:val="008E416C"/>
    <w:rsid w:val="008F5392"/>
    <w:rsid w:val="0092052D"/>
    <w:rsid w:val="00932760"/>
    <w:rsid w:val="009404C8"/>
    <w:rsid w:val="00950D18"/>
    <w:rsid w:val="00953960"/>
    <w:rsid w:val="00957D0A"/>
    <w:rsid w:val="00970BF4"/>
    <w:rsid w:val="009718E8"/>
    <w:rsid w:val="009C0F2B"/>
    <w:rsid w:val="009C16F8"/>
    <w:rsid w:val="009C4BBA"/>
    <w:rsid w:val="009C6F5B"/>
    <w:rsid w:val="00A02410"/>
    <w:rsid w:val="00A062B5"/>
    <w:rsid w:val="00A53628"/>
    <w:rsid w:val="00A750F0"/>
    <w:rsid w:val="00A902C3"/>
    <w:rsid w:val="00AB0E6B"/>
    <w:rsid w:val="00AB1E45"/>
    <w:rsid w:val="00AD1F82"/>
    <w:rsid w:val="00AD23AE"/>
    <w:rsid w:val="00AD300B"/>
    <w:rsid w:val="00AE004F"/>
    <w:rsid w:val="00AF7416"/>
    <w:rsid w:val="00B01D1D"/>
    <w:rsid w:val="00B1087A"/>
    <w:rsid w:val="00B11C10"/>
    <w:rsid w:val="00B2159C"/>
    <w:rsid w:val="00B31B14"/>
    <w:rsid w:val="00B33C8F"/>
    <w:rsid w:val="00B44B25"/>
    <w:rsid w:val="00B63C39"/>
    <w:rsid w:val="00B71752"/>
    <w:rsid w:val="00B8786C"/>
    <w:rsid w:val="00BC338B"/>
    <w:rsid w:val="00BC3DA2"/>
    <w:rsid w:val="00BD68F1"/>
    <w:rsid w:val="00BE1C34"/>
    <w:rsid w:val="00BF6892"/>
    <w:rsid w:val="00BF7546"/>
    <w:rsid w:val="00C01C78"/>
    <w:rsid w:val="00C526C3"/>
    <w:rsid w:val="00C70DDA"/>
    <w:rsid w:val="00C71367"/>
    <w:rsid w:val="00C7236C"/>
    <w:rsid w:val="00C761C4"/>
    <w:rsid w:val="00C8056E"/>
    <w:rsid w:val="00C80EBE"/>
    <w:rsid w:val="00C82103"/>
    <w:rsid w:val="00C82614"/>
    <w:rsid w:val="00CD2F6F"/>
    <w:rsid w:val="00CD54F8"/>
    <w:rsid w:val="00CD6044"/>
    <w:rsid w:val="00CE3298"/>
    <w:rsid w:val="00CF6181"/>
    <w:rsid w:val="00CF6381"/>
    <w:rsid w:val="00CF7291"/>
    <w:rsid w:val="00D1407F"/>
    <w:rsid w:val="00D16832"/>
    <w:rsid w:val="00D40D02"/>
    <w:rsid w:val="00D4461F"/>
    <w:rsid w:val="00D565F8"/>
    <w:rsid w:val="00D74A38"/>
    <w:rsid w:val="00D91147"/>
    <w:rsid w:val="00D9708D"/>
    <w:rsid w:val="00DB5FDF"/>
    <w:rsid w:val="00DD1913"/>
    <w:rsid w:val="00DF6E69"/>
    <w:rsid w:val="00E01107"/>
    <w:rsid w:val="00E01AEE"/>
    <w:rsid w:val="00E22E23"/>
    <w:rsid w:val="00E30CE5"/>
    <w:rsid w:val="00E40F50"/>
    <w:rsid w:val="00E444AB"/>
    <w:rsid w:val="00E45EBE"/>
    <w:rsid w:val="00E47274"/>
    <w:rsid w:val="00E47B38"/>
    <w:rsid w:val="00E54804"/>
    <w:rsid w:val="00E61DD7"/>
    <w:rsid w:val="00E8369E"/>
    <w:rsid w:val="00E94AB3"/>
    <w:rsid w:val="00E97E5F"/>
    <w:rsid w:val="00EA3597"/>
    <w:rsid w:val="00EC0493"/>
    <w:rsid w:val="00EE3F8F"/>
    <w:rsid w:val="00EE4AAA"/>
    <w:rsid w:val="00EF62CA"/>
    <w:rsid w:val="00F0315D"/>
    <w:rsid w:val="00F3249A"/>
    <w:rsid w:val="00F62042"/>
    <w:rsid w:val="00F64245"/>
    <w:rsid w:val="00F74923"/>
    <w:rsid w:val="00F8669D"/>
    <w:rsid w:val="00FA13A8"/>
    <w:rsid w:val="00FA1820"/>
    <w:rsid w:val="00FB187D"/>
    <w:rsid w:val="00FE28FF"/>
    <w:rsid w:val="00FE2A33"/>
    <w:rsid w:val="0C7B2809"/>
    <w:rsid w:val="124577B8"/>
    <w:rsid w:val="21246CBB"/>
    <w:rsid w:val="230B34CE"/>
    <w:rsid w:val="3F392F20"/>
    <w:rsid w:val="3FDD1FBC"/>
    <w:rsid w:val="4BC0436E"/>
    <w:rsid w:val="5E401DF1"/>
    <w:rsid w:val="6140640A"/>
    <w:rsid w:val="66806A95"/>
    <w:rsid w:val="69741B90"/>
    <w:rsid w:val="6D8A1BE1"/>
    <w:rsid w:val="6F9939EA"/>
    <w:rsid w:val="7218520E"/>
    <w:rsid w:val="7A5A2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0000FF"/>
      <w:u w:val="single"/>
    </w:rPr>
  </w:style>
  <w:style w:type="character" w:customStyle="1" w:styleId="10">
    <w:name w:val="页脚 字符"/>
    <w:link w:val="3"/>
    <w:qFormat/>
    <w:uiPriority w:val="99"/>
    <w:rPr>
      <w:kern w:val="2"/>
      <w:sz w:val="18"/>
      <w:szCs w:val="18"/>
    </w:rPr>
  </w:style>
  <w:style w:type="character" w:customStyle="1" w:styleId="11">
    <w:name w:val="批注框文本 字符"/>
    <w:link w:val="2"/>
    <w:qFormat/>
    <w:uiPriority w:val="0"/>
    <w:rPr>
      <w:kern w:val="2"/>
      <w:sz w:val="18"/>
      <w:szCs w:val="18"/>
    </w:rPr>
  </w:style>
  <w:style w:type="character" w:customStyle="1" w:styleId="12">
    <w:name w:val="apple-converted-space"/>
    <w:qFormat/>
    <w:uiPriority w:val="0"/>
  </w:style>
  <w:style w:type="paragraph" w:customStyle="1" w:styleId="13">
    <w:name w:val="Table Paragraph"/>
    <w:basedOn w:val="1"/>
    <w:qFormat/>
    <w:uiPriority w:val="1"/>
    <w:pPr>
      <w:jc w:val="center"/>
    </w:pPr>
    <w:rPr>
      <w:rFonts w:ascii="华文中宋" w:hAnsi="华文中宋" w:eastAsia="华文中宋" w:cs="华文中宋"/>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13132-7884-6A40-92D9-F7D200342821}">
  <ds:schemaRefs/>
</ds:datastoreItem>
</file>

<file path=docProps/app.xml><?xml version="1.0" encoding="utf-8"?>
<Properties xmlns="http://schemas.openxmlformats.org/officeDocument/2006/extended-properties" xmlns:vt="http://schemas.openxmlformats.org/officeDocument/2006/docPropsVTypes">
  <Template>Normal</Template>
  <Pages>4</Pages>
  <Words>1867</Words>
  <Characters>2371</Characters>
  <Lines>18</Lines>
  <Paragraphs>5</Paragraphs>
  <TotalTime>10</TotalTime>
  <ScaleCrop>false</ScaleCrop>
  <LinksUpToDate>false</LinksUpToDate>
  <CharactersWithSpaces>2397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2019-04-15T05:59:00Z</dcterms:created>
  <dc:creator>Administrator</dc:creator>
  <cp:lastModifiedBy>설양</cp:lastModifiedBy>
  <cp:lastPrinted>2021-05-14T08:29:00Z</cp:lastPrinted>
  <dcterms:modified xsi:type="dcterms:W3CDTF">2022-07-26T06:54:37Z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6AD9834B629D44E790213E92A7B953FB</vt:lpwstr>
  </property>
</Properties>
</file>