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243"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4256"/>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752" w:type="dxa"/>
            <w:vMerge w:val="restart"/>
            <w:tcBorders>
              <w:top w:val="nil"/>
              <w:left w:val="nil"/>
              <w:right w:val="single" w:color="auto" w:sz="4" w:space="0"/>
            </w:tcBorders>
            <w:textDirection w:val="tbRlV"/>
            <w:vAlign w:val="center"/>
          </w:tcPr>
          <w:p>
            <w:pPr>
              <w:ind w:left="113" w:right="113"/>
              <w:rPr>
                <w:rFonts w:ascii="华文中宋" w:hAnsi="华文中宋" w:eastAsia="华文中宋"/>
                <w:b/>
                <w:sz w:val="52"/>
                <w:szCs w:val="52"/>
              </w:rPr>
            </w:pPr>
            <w:r>
              <w:rPr>
                <w:rFonts w:hint="eastAsia" w:ascii="华文中宋" w:hAnsi="华文中宋" w:eastAsia="华文中宋"/>
                <w:b/>
                <w:sz w:val="52"/>
                <w:szCs w:val="52"/>
              </w:rPr>
              <w:t>天净沙系列</w:t>
            </w:r>
          </w:p>
        </w:tc>
        <w:tc>
          <w:tcPr>
            <w:tcW w:w="4256" w:type="dxa"/>
            <w:tcBorders>
              <w:top w:val="nil"/>
              <w:left w:val="single" w:color="auto" w:sz="4" w:space="0"/>
              <w:bottom w:val="nil"/>
              <w:right w:val="nil"/>
            </w:tcBorders>
            <w:vAlign w:val="center"/>
          </w:tcPr>
          <w:p>
            <w:pPr>
              <w:spacing w:line="400" w:lineRule="exact"/>
              <w:rPr>
                <w:rFonts w:hint="default" w:eastAsia="宋体"/>
                <w:b/>
                <w:sz w:val="28"/>
                <w:lang w:val="en-US" w:eastAsia="zh-CN"/>
              </w:rPr>
            </w:pPr>
            <w:r>
              <w:rPr>
                <w:rFonts w:hint="eastAsia"/>
                <w:b/>
                <w:sz w:val="28"/>
              </w:rPr>
              <w:t>CAT#:15-</w:t>
            </w:r>
            <w:r>
              <w:rPr>
                <w:rFonts w:hint="eastAsia"/>
                <w:b/>
                <w:sz w:val="28"/>
                <w:lang w:val="en-US" w:eastAsia="zh-CN"/>
              </w:rPr>
              <w:t>54100</w:t>
            </w:r>
          </w:p>
          <w:p>
            <w:pPr>
              <w:spacing w:line="400" w:lineRule="exact"/>
              <w:rPr>
                <w:rFonts w:ascii="华文中宋" w:hAnsi="华文中宋" w:eastAsia="华文中宋"/>
                <w:b/>
                <w:sz w:val="52"/>
                <w:szCs w:val="52"/>
              </w:rPr>
            </w:pPr>
            <w:r>
              <w:rPr>
                <w:rFonts w:hint="eastAsia"/>
                <w:b/>
                <w:sz w:val="28"/>
              </w:rPr>
              <w:t>低温运输，-20℃保存</w:t>
            </w:r>
          </w:p>
        </w:tc>
        <w:tc>
          <w:tcPr>
            <w:tcW w:w="4235" w:type="dxa"/>
            <w:tcBorders>
              <w:top w:val="nil"/>
              <w:left w:val="nil"/>
              <w:bottom w:val="nil"/>
              <w:right w:val="nil"/>
            </w:tcBorders>
            <w:vAlign w:val="center"/>
          </w:tcPr>
          <w:p>
            <w:pPr>
              <w:spacing w:line="720" w:lineRule="auto"/>
              <w:jc w:val="right"/>
              <w:rPr>
                <w:rFonts w:ascii="华文中宋" w:hAnsi="华文中宋" w:eastAsia="华文中宋"/>
                <w:b/>
                <w:i/>
                <w:sz w:val="52"/>
                <w:szCs w:val="52"/>
              </w:rPr>
            </w:pPr>
            <w:r>
              <w:drawing>
                <wp:inline distT="0" distB="0" distL="114300" distR="114300">
                  <wp:extent cx="1548130" cy="417830"/>
                  <wp:effectExtent l="0" t="0" r="139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48130" cy="4178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4" w:hRule="atLeast"/>
        </w:trPr>
        <w:tc>
          <w:tcPr>
            <w:tcW w:w="1752" w:type="dxa"/>
            <w:vMerge w:val="continue"/>
            <w:tcBorders>
              <w:left w:val="nil"/>
              <w:right w:val="single" w:color="auto" w:sz="4" w:space="0"/>
            </w:tcBorders>
          </w:tcPr>
          <w:p>
            <w:pPr>
              <w:jc w:val="center"/>
              <w:rPr>
                <w:rFonts w:ascii="华文中宋" w:hAnsi="华文中宋" w:eastAsia="华文中宋"/>
              </w:rPr>
            </w:pPr>
          </w:p>
        </w:tc>
        <w:tc>
          <w:tcPr>
            <w:tcW w:w="8491" w:type="dxa"/>
            <w:gridSpan w:val="2"/>
            <w:tcBorders>
              <w:top w:val="nil"/>
              <w:left w:val="single" w:color="auto" w:sz="4" w:space="0"/>
              <w:bottom w:val="single" w:color="auto" w:sz="4" w:space="0"/>
              <w:right w:val="nil"/>
            </w:tcBorders>
          </w:tcPr>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hint="eastAsia"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ind w:right="126" w:rightChars="60"/>
              <w:jc w:val="left"/>
              <w:rPr>
                <w:rFonts w:hint="eastAsia"/>
                <w:b/>
                <w:color w:val="221714"/>
                <w:sz w:val="44"/>
                <w:szCs w:val="44"/>
              </w:rPr>
            </w:pPr>
            <w:r>
              <w:rPr>
                <w:rFonts w:hint="eastAsia" w:ascii="华文中宋" w:hAnsi="华文中宋" w:eastAsia="华文中宋" w:cs="华文中宋"/>
                <w:b/>
                <w:color w:val="221714"/>
                <w:sz w:val="44"/>
                <w:szCs w:val="44"/>
              </w:rPr>
              <w:t>小鼠肝炎病毒探针法</w:t>
            </w:r>
            <w:r>
              <w:rPr>
                <w:rFonts w:hint="eastAsia" w:ascii="华文中宋" w:hAnsi="华文中宋" w:eastAsia="华文中宋" w:cs="华文中宋"/>
                <w:b/>
                <w:color w:val="221714"/>
                <w:sz w:val="44"/>
                <w:szCs w:val="44"/>
                <w:lang w:val="en-US" w:eastAsia="zh-CN"/>
              </w:rPr>
              <w:t>q</w:t>
            </w:r>
            <w:r>
              <w:rPr>
                <w:rFonts w:hint="eastAsia" w:ascii="华文中宋" w:hAnsi="华文中宋" w:eastAsia="华文中宋" w:cs="华文中宋"/>
                <w:b/>
                <w:color w:val="221714"/>
                <w:sz w:val="44"/>
                <w:szCs w:val="44"/>
              </w:rPr>
              <w:t>RT-PCR试剂盒</w:t>
            </w:r>
          </w:p>
          <w:p>
            <w:pPr>
              <w:ind w:right="126" w:rightChars="60"/>
              <w:jc w:val="left"/>
              <w:rPr>
                <w:rFonts w:ascii="华文中宋" w:hAnsi="华文中宋" w:eastAsia="华文中宋"/>
                <w:b/>
                <w:bCs/>
                <w:color w:val="FF0000"/>
                <w:sz w:val="44"/>
                <w:szCs w:val="44"/>
              </w:rPr>
            </w:pPr>
            <w:r>
              <w:rPr>
                <w:rFonts w:hint="eastAsia" w:ascii="华文中宋" w:hAnsi="华文中宋" w:eastAsia="华文中宋" w:cs="华文中宋"/>
                <w:b w:val="0"/>
                <w:bCs/>
                <w:color w:val="221714"/>
                <w:sz w:val="36"/>
                <w:szCs w:val="36"/>
              </w:rPr>
              <w:t>Mouse Hepatitis Virus</w:t>
            </w:r>
            <w:r>
              <w:rPr>
                <w:rFonts w:hint="eastAsia" w:ascii="华文中宋" w:hAnsi="华文中宋" w:eastAsia="华文中宋" w:cs="华文中宋"/>
                <w:b w:val="0"/>
                <w:bCs/>
                <w:color w:val="221714"/>
                <w:sz w:val="36"/>
                <w:szCs w:val="36"/>
                <w:lang w:val="en-US" w:eastAsia="zh-CN"/>
              </w:rPr>
              <w:t xml:space="preserve"> </w:t>
            </w:r>
            <w:r>
              <w:rPr>
                <w:rFonts w:hint="eastAsia" w:ascii="华文中宋" w:hAnsi="华文中宋" w:eastAsia="华文中宋" w:cs="华文中宋"/>
                <w:b w:val="0"/>
                <w:bCs/>
                <w:color w:val="221714"/>
                <w:sz w:val="36"/>
                <w:szCs w:val="36"/>
              </w:rPr>
              <w:t>Probe</w:t>
            </w:r>
            <w:r>
              <w:rPr>
                <w:rFonts w:hint="eastAsia" w:ascii="华文中宋" w:hAnsi="华文中宋" w:eastAsia="华文中宋" w:cs="华文中宋"/>
                <w:b w:val="0"/>
                <w:bCs/>
                <w:color w:val="221714"/>
                <w:sz w:val="36"/>
                <w:szCs w:val="36"/>
                <w:lang w:val="en-US" w:eastAsia="zh-CN"/>
              </w:rPr>
              <w:t xml:space="preserve"> </w:t>
            </w:r>
            <w:r>
              <w:rPr>
                <w:rFonts w:hint="eastAsia" w:ascii="华文中宋" w:hAnsi="华文中宋" w:eastAsia="华文中宋" w:cs="华文中宋"/>
                <w:b w:val="0"/>
                <w:bCs/>
                <w:color w:val="221714"/>
                <w:sz w:val="36"/>
                <w:szCs w:val="36"/>
              </w:rPr>
              <w:t>qRT-PCR</w:t>
            </w:r>
            <w:r>
              <w:rPr>
                <w:rFonts w:hint="eastAsia" w:ascii="华文中宋" w:hAnsi="华文中宋" w:eastAsia="华文中宋" w:cs="华文中宋"/>
                <w:b w:val="0"/>
                <w:bCs/>
                <w:color w:val="221714"/>
                <w:sz w:val="36"/>
                <w:szCs w:val="36"/>
                <w:lang w:val="en-US" w:eastAsia="zh-CN"/>
              </w:rPr>
              <w:t xml:space="preserve"> </w:t>
            </w:r>
            <w:r>
              <w:rPr>
                <w:rFonts w:hint="eastAsia" w:ascii="华文中宋" w:hAnsi="华文中宋" w:eastAsia="华文中宋" w:cs="华文中宋"/>
                <w:b w:val="0"/>
                <w:bCs/>
                <w:color w:val="221714"/>
                <w:sz w:val="36"/>
                <w:szCs w:val="36"/>
              </w:rPr>
              <w:t>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2" w:hRule="atLeast"/>
        </w:trPr>
        <w:tc>
          <w:tcPr>
            <w:tcW w:w="1752" w:type="dxa"/>
            <w:vMerge w:val="continue"/>
            <w:tcBorders>
              <w:left w:val="nil"/>
              <w:bottom w:val="single" w:color="auto" w:sz="4" w:space="0"/>
              <w:right w:val="single" w:color="auto" w:sz="4" w:space="0"/>
            </w:tcBorders>
          </w:tcPr>
          <w:p>
            <w:pPr>
              <w:jc w:val="center"/>
              <w:rPr>
                <w:rFonts w:ascii="华文中宋" w:hAnsi="华文中宋" w:eastAsia="华文中宋"/>
                <w:b/>
                <w:sz w:val="72"/>
                <w:szCs w:val="72"/>
              </w:rPr>
            </w:pPr>
          </w:p>
        </w:tc>
        <w:tc>
          <w:tcPr>
            <w:tcW w:w="8491" w:type="dxa"/>
            <w:gridSpan w:val="2"/>
            <w:tcBorders>
              <w:top w:val="single" w:color="auto" w:sz="4" w:space="0"/>
              <w:left w:val="single" w:color="auto" w:sz="4" w:space="0"/>
              <w:bottom w:val="single" w:color="auto" w:sz="4" w:space="0"/>
              <w:right w:val="nil"/>
            </w:tcBorders>
          </w:tcPr>
          <w:p>
            <w:pPr>
              <w:spacing w:line="720" w:lineRule="auto"/>
              <w:jc w:val="right"/>
              <w:rPr>
                <w:rFonts w:hint="eastAsia" w:ascii="华文中宋" w:hAnsi="华文中宋" w:eastAsia="华文中宋"/>
                <w:b/>
                <w:sz w:val="44"/>
                <w:szCs w:val="44"/>
                <w:lang w:val="en-US" w:eastAsia="zh-CN"/>
              </w:rPr>
            </w:pPr>
            <w:r>
              <w:rPr>
                <w:rFonts w:hint="eastAsia" w:ascii="华文中宋" w:hAnsi="华文中宋" w:eastAsia="华文中宋"/>
                <w:b/>
                <w:sz w:val="36"/>
                <w:szCs w:val="36"/>
              </w:rPr>
              <w:t>使用手册V1.</w:t>
            </w:r>
            <w:r>
              <w:rPr>
                <w:rFonts w:hint="eastAsia" w:ascii="华文中宋" w:hAnsi="华文中宋" w:eastAsia="华文中宋"/>
                <w:b/>
                <w:sz w:val="36"/>
                <w:szCs w:val="36"/>
                <w:lang w:val="en-US" w:eastAsia="zh-CN"/>
              </w:rPr>
              <w:t>1</w:t>
            </w: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tabs>
                <w:tab w:val="left" w:pos="912"/>
              </w:tabs>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0243" w:type="dxa"/>
            <w:gridSpan w:val="3"/>
            <w:tcBorders>
              <w:top w:val="single" w:color="auto" w:sz="4" w:space="0"/>
              <w:left w:val="nil"/>
              <w:bottom w:val="nil"/>
              <w:right w:val="nil"/>
            </w:tcBorders>
          </w:tcPr>
          <w:p>
            <w:pPr>
              <w:spacing w:line="560" w:lineRule="exact"/>
              <w:jc w:val="center"/>
              <w:rPr>
                <w:rFonts w:ascii="华文中宋" w:hAnsi="华文中宋" w:eastAsia="华文中宋"/>
                <w:b/>
                <w:sz w:val="30"/>
                <w:szCs w:val="30"/>
              </w:rPr>
            </w:pPr>
            <w:r>
              <w:rPr>
                <w:rFonts w:hint="eastAsia" w:ascii="华文中宋" w:hAnsi="华文中宋" w:eastAsia="华文中宋"/>
                <w:b/>
                <w:sz w:val="30"/>
                <w:szCs w:val="30"/>
              </w:rPr>
              <w:t>江苏天净沙基因诊断技术有限公司</w:t>
            </w:r>
          </w:p>
          <w:p>
            <w:pPr>
              <w:spacing w:line="560" w:lineRule="exact"/>
              <w:jc w:val="left"/>
              <w:rPr>
                <w:rFonts w:ascii="华文中宋" w:hAnsi="华文中宋" w:eastAsia="华文中宋"/>
                <w:b/>
                <w:sz w:val="28"/>
                <w:szCs w:val="28"/>
              </w:rPr>
            </w:pPr>
            <w:r>
              <w:rPr>
                <w:rFonts w:hint="eastAsia" w:ascii="华文中宋" w:hAnsi="华文中宋" w:eastAsia="华文中宋"/>
                <w:b/>
                <w:sz w:val="28"/>
                <w:szCs w:val="28"/>
              </w:rPr>
              <w:t>网址：</w:t>
            </w:r>
            <w:r>
              <w:fldChar w:fldCharType="begin"/>
            </w:r>
            <w:r>
              <w:instrText xml:space="preserve"> HYPERLINK "http://www.bingene.com" </w:instrText>
            </w:r>
            <w:r>
              <w:fldChar w:fldCharType="separate"/>
            </w:r>
            <w:r>
              <w:rPr>
                <w:rFonts w:hint="eastAsia" w:ascii="华文中宋" w:hAnsi="华文中宋" w:eastAsia="华文中宋"/>
                <w:b/>
                <w:sz w:val="28"/>
                <w:szCs w:val="28"/>
              </w:rPr>
              <w:t>www.bingene.com</w:t>
            </w:r>
            <w:r>
              <w:rPr>
                <w:rFonts w:hint="eastAsia" w:ascii="华文中宋" w:hAnsi="华文中宋" w:eastAsia="华文中宋"/>
                <w:b/>
                <w:sz w:val="28"/>
                <w:szCs w:val="28"/>
              </w:rPr>
              <w:fldChar w:fldCharType="end"/>
            </w:r>
            <w:r>
              <w:rPr>
                <w:rFonts w:hint="eastAsia" w:ascii="华文中宋" w:hAnsi="华文中宋" w:eastAsia="华文中宋"/>
                <w:b/>
                <w:sz w:val="28"/>
                <w:szCs w:val="28"/>
              </w:rPr>
              <w:t>；电话：400-</w:t>
            </w:r>
            <w:r>
              <w:rPr>
                <w:rFonts w:ascii="华文中宋" w:hAnsi="华文中宋" w:eastAsia="华文中宋"/>
                <w:b/>
                <w:sz w:val="28"/>
                <w:szCs w:val="28"/>
              </w:rPr>
              <w:t>6005850</w:t>
            </w:r>
            <w:r>
              <w:rPr>
                <w:rFonts w:hint="eastAsia" w:ascii="华文中宋" w:hAnsi="华文中宋" w:eastAsia="华文中宋"/>
                <w:b/>
                <w:sz w:val="28"/>
                <w:szCs w:val="28"/>
              </w:rPr>
              <w:t>；电邮：order@bingene.com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87" w:hRule="atLeast"/>
          <w:jc w:val="center"/>
        </w:trPr>
        <w:tc>
          <w:tcPr>
            <w:tcW w:w="1752" w:type="dxa"/>
          </w:tcPr>
          <w:p>
            <w:pPr>
              <w:pStyle w:val="6"/>
              <w:spacing w:before="80"/>
              <w:ind w:right="100"/>
              <w:jc w:val="right"/>
              <w:rPr>
                <w:b/>
                <w:sz w:val="28"/>
                <w:szCs w:val="28"/>
              </w:rPr>
            </w:pPr>
            <w:r>
              <w:rPr>
                <w:b/>
                <w:sz w:val="28"/>
              </w:rPr>
              <w:t>产品及特点</w:t>
            </w:r>
          </w:p>
        </w:tc>
        <w:tc>
          <w:tcPr>
            <w:tcW w:w="8491" w:type="dxa"/>
            <w:gridSpan w:val="2"/>
          </w:tcPr>
          <w:p>
            <w:pPr>
              <w:pStyle w:val="6"/>
              <w:spacing w:before="68" w:line="336" w:lineRule="auto"/>
              <w:ind w:left="103" w:right="-44" w:firstLine="419"/>
              <w:jc w:val="both"/>
              <w:rPr>
                <w:sz w:val="21"/>
              </w:rPr>
            </w:pPr>
            <w:r>
              <w:rPr>
                <w:rFonts w:hint="eastAsia"/>
                <w:spacing w:val="-3"/>
                <w:sz w:val="21"/>
              </w:rPr>
              <w:t>小鼠肝炎病毒(MouseHepatitisVirus，MHV)是一种RNA病毒，病毒存在于血液和内脏，特别是肝和肾，也见于粪尿中，对幼鼠有高度的传染性，小鼠肝炎是由MHV所致的1种特有的传染病，带毒小鼠分布于全世界，但在正常情况下大多呈不显性感染，只在应激因素激发下才能成为致死性疾病，主要为肝炎和脑炎，因此小鼠肝炎病毒的快速准确鉴定对该病的预防和检疫有着重要作用。本产品就是以探针法荧光定量RT-PCR技术为基础开发的专门检测小鼠肝炎病毒的试剂盒，它具有下列特点：</w:t>
            </w:r>
          </w:p>
          <w:p>
            <w:pPr>
              <w:pStyle w:val="6"/>
              <w:numPr>
                <w:ilvl w:val="0"/>
                <w:numId w:val="1"/>
              </w:numPr>
              <w:tabs>
                <w:tab w:val="left" w:pos="525"/>
                <w:tab w:val="left" w:pos="526"/>
              </w:tabs>
              <w:spacing w:before="134" w:after="0" w:line="240" w:lineRule="auto"/>
              <w:ind w:left="525" w:right="-44" w:hanging="421"/>
              <w:jc w:val="left"/>
              <w:rPr>
                <w:rFonts w:hint="eastAsia"/>
                <w:spacing w:val="-4"/>
                <w:sz w:val="21"/>
              </w:rPr>
            </w:pPr>
            <w:r>
              <w:rPr>
                <w:rFonts w:hint="eastAsia"/>
                <w:spacing w:val="-4"/>
                <w:sz w:val="21"/>
              </w:rPr>
              <w:t>即开即用，用户只需要提供样品RNA模板。</w:t>
            </w:r>
          </w:p>
          <w:p>
            <w:pPr>
              <w:pStyle w:val="6"/>
              <w:numPr>
                <w:ilvl w:val="0"/>
                <w:numId w:val="1"/>
              </w:numPr>
              <w:tabs>
                <w:tab w:val="left" w:pos="525"/>
                <w:tab w:val="left" w:pos="526"/>
              </w:tabs>
              <w:spacing w:before="134" w:after="0" w:line="240" w:lineRule="auto"/>
              <w:ind w:left="525" w:right="-44" w:hanging="421"/>
              <w:jc w:val="left"/>
              <w:rPr>
                <w:rFonts w:hint="eastAsia"/>
                <w:spacing w:val="-4"/>
                <w:sz w:val="21"/>
              </w:rPr>
            </w:pPr>
            <w:r>
              <w:rPr>
                <w:rFonts w:hint="eastAsia"/>
                <w:spacing w:val="-4"/>
                <w:sz w:val="21"/>
              </w:rPr>
              <w:t>引物和探针经过优化，分析灵敏性高，可以达到100拷贝/反应。</w:t>
            </w:r>
          </w:p>
          <w:p>
            <w:pPr>
              <w:pStyle w:val="6"/>
              <w:numPr>
                <w:ilvl w:val="0"/>
                <w:numId w:val="1"/>
              </w:numPr>
              <w:tabs>
                <w:tab w:val="left" w:pos="525"/>
                <w:tab w:val="left" w:pos="526"/>
              </w:tabs>
              <w:spacing w:before="134" w:after="0" w:line="240" w:lineRule="auto"/>
              <w:ind w:left="525" w:right="-44" w:hanging="421"/>
              <w:jc w:val="left"/>
              <w:rPr>
                <w:sz w:val="21"/>
              </w:rPr>
            </w:pPr>
            <w:r>
              <w:rPr>
                <w:rFonts w:hint="eastAsia"/>
                <w:spacing w:val="-4"/>
                <w:sz w:val="21"/>
              </w:rPr>
              <w:t>提供阳性对照，便于区分假阴性样品。</w:t>
            </w:r>
          </w:p>
          <w:p>
            <w:pPr>
              <w:pStyle w:val="6"/>
              <w:numPr>
                <w:ilvl w:val="0"/>
                <w:numId w:val="1"/>
              </w:numPr>
              <w:tabs>
                <w:tab w:val="left" w:pos="525"/>
                <w:tab w:val="left" w:pos="526"/>
              </w:tabs>
              <w:spacing w:before="134" w:after="0" w:line="240" w:lineRule="auto"/>
              <w:ind w:left="525" w:right="-44" w:hanging="421"/>
              <w:jc w:val="left"/>
              <w:rPr>
                <w:sz w:val="21"/>
              </w:rPr>
            </w:pPr>
            <w:r>
              <w:rPr>
                <w:spacing w:val="-12"/>
                <w:sz w:val="21"/>
              </w:rPr>
              <w:t>特异性高，</w:t>
            </w:r>
            <w:r>
              <w:rPr>
                <w:rFonts w:hint="eastAsia"/>
                <w:spacing w:val="-12"/>
                <w:sz w:val="21"/>
              </w:rPr>
              <w:t>引物是根据小鼠肝炎病毒高度保守区设计，不会跟其他病毒的RNA发生交叉反应。</w:t>
            </w:r>
          </w:p>
          <w:p>
            <w:pPr>
              <w:pStyle w:val="6"/>
              <w:numPr>
                <w:ilvl w:val="0"/>
                <w:numId w:val="1"/>
              </w:numPr>
              <w:tabs>
                <w:tab w:val="left" w:pos="521"/>
                <w:tab w:val="left" w:pos="522"/>
              </w:tabs>
              <w:spacing w:before="134"/>
              <w:ind w:left="521"/>
              <w:jc w:val="left"/>
              <w:rPr>
                <w:rFonts w:hint="eastAsia"/>
                <w:spacing w:val="-5"/>
                <w:sz w:val="21"/>
              </w:rPr>
            </w:pPr>
            <w:r>
              <w:rPr>
                <w:rFonts w:hint="eastAsia"/>
                <w:spacing w:val="-5"/>
                <w:sz w:val="21"/>
              </w:rPr>
              <w:t>既可用于定性检测，又可用于定量检测。用于定量检测时线性范围至少为5各数量级。</w:t>
            </w:r>
          </w:p>
          <w:p>
            <w:pPr>
              <w:pStyle w:val="6"/>
              <w:numPr>
                <w:ilvl w:val="0"/>
                <w:numId w:val="1"/>
              </w:numPr>
              <w:tabs>
                <w:tab w:val="left" w:pos="521"/>
                <w:tab w:val="left" w:pos="522"/>
              </w:tabs>
              <w:spacing w:before="134"/>
              <w:ind w:left="521"/>
              <w:jc w:val="left"/>
              <w:rPr>
                <w:rFonts w:hint="eastAsia"/>
                <w:spacing w:val="-5"/>
                <w:sz w:val="21"/>
              </w:rPr>
            </w:pPr>
            <w:r>
              <w:rPr>
                <w:rFonts w:hint="eastAsia"/>
                <w:spacing w:val="-5"/>
                <w:sz w:val="21"/>
              </w:rPr>
              <w:t>本产品足够50次20μL体系的探针法qRT-PCR反应。</w:t>
            </w:r>
          </w:p>
          <w:p>
            <w:pPr>
              <w:pStyle w:val="6"/>
              <w:numPr>
                <w:ilvl w:val="0"/>
                <w:numId w:val="1"/>
              </w:numPr>
              <w:tabs>
                <w:tab w:val="left" w:pos="521"/>
                <w:tab w:val="left" w:pos="522"/>
              </w:tabs>
              <w:spacing w:before="134"/>
              <w:ind w:left="521"/>
              <w:jc w:val="left"/>
              <w:rPr>
                <w:szCs w:val="21"/>
              </w:rPr>
            </w:pPr>
            <w:r>
              <w:rPr>
                <w:rFonts w:hint="eastAsia"/>
                <w:spacing w:val="-5"/>
                <w:sz w:val="21"/>
              </w:rPr>
              <w:t>本产品只能用于科研。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3" w:hRule="atLeast"/>
          <w:jc w:val="center"/>
        </w:trPr>
        <w:tc>
          <w:tcPr>
            <w:tcW w:w="1752" w:type="dxa"/>
          </w:tcPr>
          <w:p>
            <w:pPr>
              <w:spacing w:line="360" w:lineRule="auto"/>
              <w:jc w:val="right"/>
              <w:rPr>
                <w:rFonts w:ascii="华文中宋" w:hAnsi="华文中宋" w:eastAsia="华文中宋"/>
              </w:rPr>
            </w:pPr>
            <w:r>
              <w:rPr>
                <w:rFonts w:hint="eastAsia" w:ascii="华文中宋" w:hAnsi="华文中宋" w:eastAsia="华文中宋"/>
                <w:b/>
                <w:sz w:val="28"/>
                <w:szCs w:val="28"/>
              </w:rPr>
              <w:t>规格及成分</w:t>
            </w:r>
          </w:p>
        </w:tc>
        <w:tc>
          <w:tcPr>
            <w:tcW w:w="8491" w:type="dxa"/>
            <w:gridSpan w:val="2"/>
          </w:tcPr>
          <w:tbl>
            <w:tblPr>
              <w:tblStyle w:val="2"/>
              <w:tblpPr w:leftFromText="180" w:rightFromText="180" w:vertAnchor="text" w:horzAnchor="page" w:tblpXSpec="center" w:tblpY="605"/>
              <w:tblOverlap w:val="never"/>
              <w:tblW w:w="7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6"/>
              <w:gridCol w:w="1880"/>
              <w:gridCol w:w="93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566" w:type="dxa"/>
                  <w:shd w:val="clear" w:color="auto" w:fill="auto"/>
                  <w:noWrap/>
                  <w:vAlign w:val="center"/>
                </w:tcPr>
                <w:p>
                  <w:pPr>
                    <w:pStyle w:val="6"/>
                    <w:spacing w:before="61"/>
                    <w:ind w:left="56" w:right="61"/>
                    <w:jc w:val="center"/>
                    <w:rPr>
                      <w:b/>
                      <w:bCs/>
                      <w:szCs w:val="21"/>
                    </w:rPr>
                  </w:pPr>
                  <w:r>
                    <w:t>成分</w:t>
                  </w:r>
                </w:p>
              </w:tc>
              <w:tc>
                <w:tcPr>
                  <w:tcW w:w="1880" w:type="dxa"/>
                  <w:vAlign w:val="center"/>
                </w:tcPr>
                <w:p>
                  <w:pPr>
                    <w:pStyle w:val="6"/>
                    <w:spacing w:before="61"/>
                    <w:ind w:left="230" w:right="198"/>
                    <w:jc w:val="center"/>
                    <w:rPr>
                      <w:b/>
                      <w:bCs/>
                      <w:szCs w:val="21"/>
                    </w:rPr>
                  </w:pPr>
                  <w:r>
                    <w:t>编号</w:t>
                  </w:r>
                </w:p>
              </w:tc>
              <w:tc>
                <w:tcPr>
                  <w:tcW w:w="931" w:type="dxa"/>
                  <w:vAlign w:val="center"/>
                </w:tcPr>
                <w:p>
                  <w:pPr>
                    <w:spacing w:line="360" w:lineRule="auto"/>
                    <w:ind w:right="-34" w:rightChars="-16"/>
                    <w:jc w:val="center"/>
                    <w:rPr>
                      <w:b/>
                      <w:bCs/>
                      <w:szCs w:val="21"/>
                    </w:rPr>
                  </w:pPr>
                  <w:r>
                    <w:rPr>
                      <w:rFonts w:hint="eastAsia" w:ascii="华文中宋" w:hAnsi="华文中宋" w:eastAsia="华文中宋"/>
                      <w:bCs/>
                      <w:szCs w:val="21"/>
                    </w:rPr>
                    <w:t>规格</w:t>
                  </w:r>
                </w:p>
              </w:tc>
              <w:tc>
                <w:tcPr>
                  <w:tcW w:w="1614" w:type="dxa"/>
                  <w:vAlign w:val="top"/>
                </w:tcPr>
                <w:p>
                  <w:pPr>
                    <w:spacing w:line="360" w:lineRule="auto"/>
                    <w:ind w:right="-34" w:rightChars="-16"/>
                    <w:jc w:val="center"/>
                  </w:pPr>
                  <w:r>
                    <w:rPr>
                      <w:rFonts w:hint="eastAsia" w:ascii="华文中宋" w:hAnsi="华文中宋" w:eastAsia="华文中宋"/>
                      <w:bCs/>
                      <w:szCs w:val="21"/>
                    </w:rPr>
                    <w:t>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6" w:type="dxa"/>
                  <w:shd w:val="clear" w:color="auto" w:fill="auto"/>
                  <w:noWrap/>
                  <w:vAlign w:val="center"/>
                </w:tcPr>
                <w:p>
                  <w:pPr>
                    <w:spacing w:line="240" w:lineRule="exact"/>
                    <w:jc w:val="center"/>
                    <w:rPr>
                      <w:bCs/>
                      <w:szCs w:val="21"/>
                    </w:rPr>
                  </w:pPr>
                  <w:r>
                    <w:rPr>
                      <w:rFonts w:hint="eastAsia" w:ascii="华文中宋" w:hAnsi="华文中宋" w:eastAsia="华文中宋"/>
                      <w:szCs w:val="21"/>
                    </w:rPr>
                    <w:t>探针法</w:t>
                  </w:r>
                  <w:r>
                    <w:rPr>
                      <w:rFonts w:ascii="华文中宋" w:hAnsi="华文中宋" w:eastAsia="华文中宋"/>
                      <w:szCs w:val="21"/>
                    </w:rPr>
                    <w:t>qRT-PCR</w:t>
                  </w:r>
                  <w:r>
                    <w:rPr>
                      <w:rFonts w:hint="eastAsia" w:ascii="华文中宋" w:hAnsi="华文中宋" w:eastAsia="华文中宋"/>
                      <w:szCs w:val="21"/>
                    </w:rPr>
                    <w:t>缓冲液</w:t>
                  </w:r>
                </w:p>
              </w:tc>
              <w:tc>
                <w:tcPr>
                  <w:tcW w:w="1880" w:type="dxa"/>
                  <w:vAlign w:val="center"/>
                </w:tcPr>
                <w:p>
                  <w:pPr>
                    <w:spacing w:line="360" w:lineRule="auto"/>
                    <w:ind w:right="-34" w:rightChars="-16"/>
                    <w:jc w:val="center"/>
                    <w:rPr>
                      <w:bCs/>
                      <w:szCs w:val="21"/>
                    </w:rPr>
                  </w:pPr>
                  <w:r>
                    <w:rPr>
                      <w:rFonts w:ascii="华文中宋" w:hAnsi="华文中宋" w:eastAsia="华文中宋"/>
                      <w:bCs/>
                      <w:szCs w:val="21"/>
                    </w:rPr>
                    <w:t>9</w:t>
                  </w:r>
                  <w:r>
                    <w:rPr>
                      <w:rFonts w:hint="eastAsia" w:ascii="华文中宋" w:hAnsi="华文中宋" w:eastAsia="华文中宋"/>
                      <w:bCs/>
                      <w:szCs w:val="21"/>
                    </w:rPr>
                    <w:t>90</w:t>
                  </w:r>
                  <w:r>
                    <w:rPr>
                      <w:rFonts w:ascii="华文中宋" w:hAnsi="华文中宋" w:eastAsia="华文中宋"/>
                      <w:bCs/>
                      <w:szCs w:val="21"/>
                    </w:rPr>
                    <w:t>504</w:t>
                  </w:r>
                  <w:r>
                    <w:rPr>
                      <w:rFonts w:hint="eastAsia" w:ascii="华文中宋" w:hAnsi="华文中宋" w:eastAsia="华文中宋"/>
                      <w:bCs/>
                      <w:szCs w:val="21"/>
                    </w:rPr>
                    <w:t>a</w:t>
                  </w:r>
                </w:p>
              </w:tc>
              <w:tc>
                <w:tcPr>
                  <w:tcW w:w="931" w:type="dxa"/>
                  <w:vAlign w:val="center"/>
                </w:tcPr>
                <w:p>
                  <w:pPr>
                    <w:spacing w:line="360" w:lineRule="auto"/>
                    <w:ind w:right="-34" w:rightChars="-16"/>
                    <w:jc w:val="center"/>
                    <w:rPr>
                      <w:bCs/>
                      <w:szCs w:val="21"/>
                    </w:rPr>
                  </w:pPr>
                  <w:r>
                    <w:rPr>
                      <w:rFonts w:ascii="华文中宋" w:hAnsi="华文中宋" w:eastAsia="华文中宋"/>
                      <w:bCs/>
                      <w:szCs w:val="21"/>
                    </w:rPr>
                    <w:t>500</w:t>
                  </w:r>
                  <w:r>
                    <w:rPr>
                      <w:rFonts w:hint="eastAsia" w:ascii="华文中宋" w:hAnsi="华文中宋" w:eastAsia="华文中宋"/>
                      <w:bCs/>
                      <w:szCs w:val="21"/>
                    </w:rPr>
                    <w:t xml:space="preserve"> </w:t>
                  </w:r>
                  <w:r>
                    <w:rPr>
                      <w:rFonts w:ascii="华文中宋" w:hAnsi="华文中宋" w:eastAsia="华文中宋"/>
                      <w:bCs/>
                      <w:szCs w:val="21"/>
                    </w:rPr>
                    <w:t>μL</w:t>
                  </w:r>
                </w:p>
              </w:tc>
              <w:tc>
                <w:tcPr>
                  <w:tcW w:w="1614" w:type="dxa"/>
                  <w:vAlign w:val="center"/>
                </w:tcPr>
                <w:p>
                  <w:pPr>
                    <w:spacing w:line="360" w:lineRule="auto"/>
                    <w:ind w:right="-34" w:rightChars="-16"/>
                    <w:jc w:val="center"/>
                    <w:rPr>
                      <w:rFonts w:hint="eastAsia"/>
                      <w:sz w:val="21"/>
                    </w:rPr>
                  </w:pPr>
                  <w:r>
                    <w:rPr>
                      <w:rFonts w:ascii="华文中宋" w:hAnsi="华文中宋" w:eastAsia="华文中宋"/>
                      <w:bCs/>
                      <w:szCs w:val="21"/>
                    </w:rPr>
                    <w:t>0.5</w:t>
                  </w:r>
                  <w:r>
                    <w:rPr>
                      <w:rFonts w:hint="eastAsia" w:ascii="华文中宋" w:hAnsi="华文中宋" w:eastAsia="华文中宋"/>
                      <w:bCs/>
                      <w:szCs w:val="21"/>
                    </w:rPr>
                    <w:t>mL蓝盖管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66" w:type="dxa"/>
                  <w:shd w:val="clear" w:color="auto" w:fill="auto"/>
                  <w:noWrap/>
                  <w:vAlign w:val="center"/>
                </w:tcPr>
                <w:p>
                  <w:pPr>
                    <w:spacing w:line="240" w:lineRule="exact"/>
                    <w:jc w:val="center"/>
                    <w:rPr>
                      <w:rFonts w:hint="default" w:eastAsia="华文中宋"/>
                      <w:bCs/>
                      <w:szCs w:val="21"/>
                      <w:lang w:val="en-US" w:eastAsia="zh-CN"/>
                    </w:rPr>
                  </w:pPr>
                  <w:r>
                    <w:rPr>
                      <w:rFonts w:hint="eastAsia" w:ascii="华文中宋" w:hAnsi="华文中宋" w:eastAsia="华文中宋"/>
                      <w:szCs w:val="21"/>
                    </w:rPr>
                    <w:t>探针法</w:t>
                  </w:r>
                  <w:r>
                    <w:rPr>
                      <w:rFonts w:ascii="华文中宋" w:hAnsi="华文中宋" w:eastAsia="华文中宋"/>
                      <w:szCs w:val="21"/>
                    </w:rPr>
                    <w:t>qRT-PCR</w:t>
                  </w:r>
                  <w:r>
                    <w:rPr>
                      <w:rFonts w:hint="eastAsia" w:ascii="华文中宋" w:hAnsi="华文中宋" w:eastAsia="华文中宋"/>
                      <w:szCs w:val="21"/>
                    </w:rPr>
                    <w:t>酶混合液</w:t>
                  </w:r>
                  <w:r>
                    <w:rPr>
                      <w:rFonts w:hint="eastAsia" w:ascii="华文中宋" w:hAnsi="华文中宋" w:eastAsia="华文中宋"/>
                      <w:szCs w:val="21"/>
                      <w:lang w:val="en-US" w:eastAsia="zh-CN"/>
                    </w:rPr>
                    <w:t>v2</w:t>
                  </w:r>
                </w:p>
              </w:tc>
              <w:tc>
                <w:tcPr>
                  <w:tcW w:w="1880" w:type="dxa"/>
                  <w:vAlign w:val="center"/>
                </w:tcPr>
                <w:p>
                  <w:pPr>
                    <w:spacing w:line="360" w:lineRule="auto"/>
                    <w:ind w:right="-34" w:rightChars="-16"/>
                    <w:jc w:val="center"/>
                    <w:rPr>
                      <w:bCs/>
                      <w:szCs w:val="21"/>
                    </w:rPr>
                  </w:pPr>
                  <w:r>
                    <w:rPr>
                      <w:rFonts w:ascii="华文中宋" w:hAnsi="华文中宋" w:eastAsia="华文中宋"/>
                      <w:bCs/>
                      <w:szCs w:val="21"/>
                    </w:rPr>
                    <w:t>9</w:t>
                  </w:r>
                  <w:r>
                    <w:rPr>
                      <w:rFonts w:hint="eastAsia" w:ascii="华文中宋" w:hAnsi="华文中宋" w:eastAsia="华文中宋"/>
                      <w:bCs/>
                      <w:szCs w:val="21"/>
                    </w:rPr>
                    <w:t>90</w:t>
                  </w:r>
                  <w:r>
                    <w:rPr>
                      <w:rFonts w:ascii="华文中宋" w:hAnsi="华文中宋" w:eastAsia="华文中宋"/>
                      <w:bCs/>
                      <w:szCs w:val="21"/>
                    </w:rPr>
                    <w:t>504</w:t>
                  </w:r>
                  <w:r>
                    <w:rPr>
                      <w:rFonts w:hint="eastAsia" w:ascii="华文中宋" w:hAnsi="华文中宋" w:eastAsia="华文中宋"/>
                      <w:bCs/>
                      <w:szCs w:val="21"/>
                    </w:rPr>
                    <w:t>b</w:t>
                  </w:r>
                  <w:r>
                    <w:rPr>
                      <w:rFonts w:hint="eastAsia" w:ascii="华文中宋" w:hAnsi="华文中宋" w:eastAsia="华文中宋"/>
                      <w:bCs/>
                      <w:szCs w:val="21"/>
                      <w:lang w:val="en-US" w:eastAsia="zh-CN"/>
                    </w:rPr>
                    <w:t>v2</w:t>
                  </w:r>
                </w:p>
              </w:tc>
              <w:tc>
                <w:tcPr>
                  <w:tcW w:w="931" w:type="dxa"/>
                  <w:vAlign w:val="center"/>
                </w:tcPr>
                <w:p>
                  <w:pPr>
                    <w:spacing w:line="360" w:lineRule="auto"/>
                    <w:ind w:right="-34" w:rightChars="-16"/>
                    <w:jc w:val="center"/>
                    <w:rPr>
                      <w:bCs/>
                      <w:szCs w:val="21"/>
                    </w:rPr>
                  </w:pPr>
                  <w:r>
                    <w:rPr>
                      <w:rFonts w:hint="eastAsia" w:ascii="华文中宋" w:hAnsi="华文中宋" w:eastAsia="华文中宋"/>
                      <w:bCs/>
                      <w:szCs w:val="21"/>
                      <w:lang w:val="en-US" w:eastAsia="zh-CN"/>
                    </w:rPr>
                    <w:t>50</w:t>
                  </w:r>
                  <w:r>
                    <w:rPr>
                      <w:rFonts w:hint="eastAsia" w:ascii="华文中宋" w:hAnsi="华文中宋" w:eastAsia="华文中宋"/>
                      <w:bCs/>
                      <w:szCs w:val="21"/>
                    </w:rPr>
                    <w:t xml:space="preserve"> </w:t>
                  </w:r>
                  <w:r>
                    <w:rPr>
                      <w:rFonts w:ascii="华文中宋" w:hAnsi="华文中宋" w:eastAsia="华文中宋"/>
                      <w:bCs/>
                      <w:szCs w:val="21"/>
                    </w:rPr>
                    <w:t>μL</w:t>
                  </w:r>
                </w:p>
              </w:tc>
              <w:tc>
                <w:tcPr>
                  <w:tcW w:w="1614" w:type="dxa"/>
                  <w:vAlign w:val="center"/>
                </w:tcPr>
                <w:p>
                  <w:pPr>
                    <w:spacing w:line="360" w:lineRule="auto"/>
                    <w:ind w:right="-34" w:rightChars="-16"/>
                    <w:jc w:val="center"/>
                    <w:rPr>
                      <w:sz w:val="21"/>
                    </w:rPr>
                  </w:pPr>
                  <w:r>
                    <w:rPr>
                      <w:rFonts w:ascii="华文中宋" w:hAnsi="华文中宋" w:eastAsia="华文中宋"/>
                      <w:bCs/>
                      <w:szCs w:val="21"/>
                    </w:rPr>
                    <w:t>0.5</w:t>
                  </w:r>
                  <w:r>
                    <w:rPr>
                      <w:rFonts w:hint="eastAsia" w:ascii="华文中宋" w:hAnsi="华文中宋" w:eastAsia="华文中宋"/>
                      <w:bCs/>
                      <w:szCs w:val="21"/>
                    </w:rPr>
                    <w:t>mL红盖管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566" w:type="dxa"/>
                  <w:shd w:val="clear" w:color="auto" w:fill="auto"/>
                  <w:noWrap/>
                  <w:vAlign w:val="center"/>
                </w:tcPr>
                <w:p>
                  <w:pPr>
                    <w:pStyle w:val="6"/>
                    <w:spacing w:line="220" w:lineRule="exact"/>
                    <w:ind w:left="137" w:leftChars="0" w:right="135" w:rightChars="0"/>
                    <w:jc w:val="center"/>
                    <w:rPr>
                      <w:bCs/>
                      <w:szCs w:val="21"/>
                    </w:rPr>
                  </w:pPr>
                  <w:r>
                    <w:rPr>
                      <w:rFonts w:hint="eastAsia"/>
                      <w:sz w:val="21"/>
                    </w:rPr>
                    <w:t>荧光PCR专用模板稀释液</w:t>
                  </w:r>
                </w:p>
              </w:tc>
              <w:tc>
                <w:tcPr>
                  <w:tcW w:w="1880" w:type="dxa"/>
                  <w:vAlign w:val="center"/>
                </w:tcPr>
                <w:p>
                  <w:pPr>
                    <w:pStyle w:val="6"/>
                    <w:spacing w:before="75"/>
                    <w:ind w:left="117" w:leftChars="0" w:right="85" w:rightChars="0"/>
                    <w:jc w:val="center"/>
                    <w:rPr>
                      <w:bCs/>
                      <w:szCs w:val="21"/>
                    </w:rPr>
                  </w:pPr>
                  <w:r>
                    <w:rPr>
                      <w:rFonts w:hint="eastAsia"/>
                      <w:sz w:val="21"/>
                    </w:rPr>
                    <w:t>180701</w:t>
                  </w:r>
                </w:p>
              </w:tc>
              <w:tc>
                <w:tcPr>
                  <w:tcW w:w="931" w:type="dxa"/>
                  <w:vAlign w:val="center"/>
                </w:tcPr>
                <w:p>
                  <w:pPr>
                    <w:spacing w:line="360" w:lineRule="auto"/>
                    <w:ind w:right="-34" w:rightChars="-16"/>
                    <w:jc w:val="center"/>
                    <w:rPr>
                      <w:bCs/>
                      <w:szCs w:val="21"/>
                    </w:rPr>
                  </w:pPr>
                  <w:r>
                    <w:rPr>
                      <w:rFonts w:ascii="华文中宋" w:hAnsi="华文中宋" w:eastAsia="华文中宋"/>
                      <w:bCs/>
                      <w:szCs w:val="21"/>
                    </w:rPr>
                    <w:t>1</w:t>
                  </w:r>
                  <w:r>
                    <w:rPr>
                      <w:rFonts w:hint="eastAsia" w:ascii="华文中宋" w:hAnsi="华文中宋" w:eastAsia="华文中宋"/>
                      <w:bCs/>
                      <w:szCs w:val="21"/>
                    </w:rPr>
                    <w:t xml:space="preserve"> mL</w:t>
                  </w:r>
                </w:p>
              </w:tc>
              <w:tc>
                <w:tcPr>
                  <w:tcW w:w="1614" w:type="dxa"/>
                  <w:vAlign w:val="center"/>
                </w:tcPr>
                <w:p>
                  <w:pPr>
                    <w:spacing w:line="360" w:lineRule="auto"/>
                    <w:ind w:right="-34" w:rightChars="-16"/>
                    <w:jc w:val="center"/>
                    <w:rPr>
                      <w:sz w:val="21"/>
                    </w:rPr>
                  </w:pPr>
                  <w:r>
                    <w:rPr>
                      <w:rFonts w:ascii="华文中宋" w:hAnsi="华文中宋" w:eastAsia="华文中宋"/>
                      <w:bCs/>
                      <w:szCs w:val="21"/>
                    </w:rPr>
                    <w:t>1</w:t>
                  </w:r>
                  <w:r>
                    <w:rPr>
                      <w:rFonts w:hint="eastAsia" w:ascii="华文中宋" w:hAnsi="华文中宋" w:eastAsia="华文中宋"/>
                      <w:bCs/>
                      <w:szCs w:val="21"/>
                    </w:rPr>
                    <w:t>.5 mL绿盖管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566" w:type="dxa"/>
                  <w:shd w:val="clear" w:color="auto" w:fill="auto"/>
                  <w:noWrap/>
                  <w:vAlign w:val="center"/>
                </w:tcPr>
                <w:p>
                  <w:pPr>
                    <w:pStyle w:val="6"/>
                    <w:spacing w:line="220" w:lineRule="exact"/>
                    <w:ind w:left="137" w:leftChars="0" w:right="135" w:rightChars="0"/>
                    <w:jc w:val="center"/>
                    <w:rPr>
                      <w:rFonts w:hint="eastAsia" w:eastAsia="华文中宋"/>
                      <w:sz w:val="21"/>
                      <w:lang w:eastAsia="zh-CN"/>
                    </w:rPr>
                  </w:pPr>
                  <w:r>
                    <w:rPr>
                      <w:rFonts w:hint="eastAsia"/>
                      <w:sz w:val="21"/>
                    </w:rPr>
                    <w:t>小鼠肝炎病毒探针法qRT-PCR引物</w:t>
                  </w:r>
                  <w:r>
                    <w:rPr>
                      <w:rFonts w:hint="eastAsia"/>
                      <w:sz w:val="21"/>
                      <w:lang w:val="en-US" w:eastAsia="zh-CN"/>
                    </w:rPr>
                    <w:t>-探针干粉</w:t>
                  </w:r>
                </w:p>
              </w:tc>
              <w:tc>
                <w:tcPr>
                  <w:tcW w:w="1880" w:type="dxa"/>
                  <w:vAlign w:val="center"/>
                </w:tcPr>
                <w:p>
                  <w:pPr>
                    <w:pStyle w:val="6"/>
                    <w:spacing w:before="68"/>
                    <w:ind w:left="120" w:leftChars="0" w:right="85" w:rightChars="0"/>
                    <w:jc w:val="center"/>
                    <w:rPr>
                      <w:rFonts w:hint="default" w:eastAsia="华文中宋"/>
                      <w:bCs/>
                      <w:szCs w:val="21"/>
                      <w:lang w:val="en-US" w:eastAsia="zh-CN"/>
                    </w:rPr>
                  </w:pPr>
                  <w:r>
                    <w:rPr>
                      <w:rFonts w:hint="eastAsia"/>
                      <w:sz w:val="21"/>
                      <w:lang w:val="en-US" w:eastAsia="zh-CN"/>
                    </w:rPr>
                    <w:t>yp</w:t>
                  </w:r>
                  <w:r>
                    <w:rPr>
                      <w:sz w:val="21"/>
                    </w:rPr>
                    <w:t>15-54100</w:t>
                  </w:r>
                </w:p>
              </w:tc>
              <w:tc>
                <w:tcPr>
                  <w:tcW w:w="931" w:type="dxa"/>
                  <w:vAlign w:val="center"/>
                </w:tcPr>
                <w:p>
                  <w:pPr>
                    <w:spacing w:line="360" w:lineRule="auto"/>
                    <w:ind w:right="-34" w:rightChars="-16"/>
                    <w:jc w:val="center"/>
                    <w:rPr>
                      <w:bCs/>
                      <w:szCs w:val="21"/>
                    </w:rPr>
                  </w:pPr>
                  <w:r>
                    <w:rPr>
                      <w:rFonts w:hint="eastAsia" w:ascii="华文中宋" w:hAnsi="华文中宋" w:eastAsia="华文中宋"/>
                      <w:szCs w:val="21"/>
                    </w:rPr>
                    <w:t>50次</w:t>
                  </w:r>
                </w:p>
              </w:tc>
              <w:tc>
                <w:tcPr>
                  <w:tcW w:w="1614" w:type="dxa"/>
                  <w:vAlign w:val="center"/>
                </w:tcPr>
                <w:p>
                  <w:pPr>
                    <w:spacing w:line="360" w:lineRule="auto"/>
                    <w:ind w:right="-34" w:rightChars="-16"/>
                    <w:jc w:val="center"/>
                    <w:rPr>
                      <w:sz w:val="21"/>
                    </w:rPr>
                  </w:pPr>
                  <w:r>
                    <w:rPr>
                      <w:rFonts w:ascii="华文中宋" w:hAnsi="华文中宋" w:eastAsia="华文中宋"/>
                      <w:bCs/>
                      <w:szCs w:val="21"/>
                    </w:rPr>
                    <w:t>0.5</w:t>
                  </w:r>
                  <w:r>
                    <w:rPr>
                      <w:rFonts w:hint="eastAsia" w:ascii="华文中宋" w:hAnsi="华文中宋" w:eastAsia="华文中宋"/>
                      <w:bCs/>
                      <w:szCs w:val="21"/>
                    </w:rPr>
                    <w:t>mL棕色管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566" w:type="dxa"/>
                  <w:shd w:val="clear" w:color="auto" w:fill="auto"/>
                  <w:noWrap/>
                  <w:vAlign w:val="center"/>
                </w:tcPr>
                <w:p>
                  <w:pPr>
                    <w:pStyle w:val="6"/>
                    <w:spacing w:line="220" w:lineRule="exact"/>
                    <w:ind w:left="137" w:leftChars="0" w:right="135" w:rightChars="0"/>
                    <w:jc w:val="center"/>
                    <w:rPr>
                      <w:bCs/>
                      <w:szCs w:val="21"/>
                    </w:rPr>
                  </w:pPr>
                  <w:r>
                    <w:rPr>
                      <w:rFonts w:hint="eastAsia"/>
                      <w:sz w:val="21"/>
                    </w:rPr>
                    <w:t>小鼠肝炎病毒探针法qRT-PCR</w:t>
                  </w:r>
                  <w:r>
                    <w:rPr>
                      <w:rFonts w:hint="eastAsia"/>
                      <w:sz w:val="21"/>
                      <w:lang w:eastAsia="zh-CN"/>
                    </w:rPr>
                    <w:t>阳</w:t>
                  </w:r>
                  <w:r>
                    <w:rPr>
                      <w:rFonts w:hint="eastAsia"/>
                      <w:sz w:val="21"/>
                    </w:rPr>
                    <w:t>性对照(1×10E</w:t>
                  </w:r>
                  <w:r>
                    <w:rPr>
                      <w:rFonts w:hint="eastAsia"/>
                      <w:sz w:val="21"/>
                      <w:lang w:val="en-US" w:eastAsia="zh-CN"/>
                    </w:rPr>
                    <w:t>7</w:t>
                  </w:r>
                  <w:r>
                    <w:rPr>
                      <w:rFonts w:hint="eastAsia"/>
                      <w:sz w:val="21"/>
                    </w:rPr>
                    <w:t>拷贝/μL)</w:t>
                  </w:r>
                </w:p>
              </w:tc>
              <w:tc>
                <w:tcPr>
                  <w:tcW w:w="1880" w:type="dxa"/>
                  <w:vAlign w:val="center"/>
                </w:tcPr>
                <w:p>
                  <w:pPr>
                    <w:pStyle w:val="6"/>
                    <w:spacing w:before="73"/>
                    <w:ind w:right="85" w:rightChars="0"/>
                    <w:jc w:val="center"/>
                    <w:rPr>
                      <w:rFonts w:hint="default" w:eastAsia="华文中宋"/>
                      <w:bCs/>
                      <w:szCs w:val="21"/>
                      <w:lang w:val="en-US" w:eastAsia="zh-CN"/>
                    </w:rPr>
                  </w:pPr>
                  <w:r>
                    <w:rPr>
                      <w:sz w:val="21"/>
                    </w:rPr>
                    <w:t>pc54100</w:t>
                  </w:r>
                  <w:r>
                    <w:rPr>
                      <w:rFonts w:hint="eastAsia"/>
                      <w:sz w:val="21"/>
                      <w:lang w:val="en-US" w:eastAsia="zh-CN"/>
                    </w:rPr>
                    <w:t>-FJ64</w:t>
                  </w:r>
                </w:p>
              </w:tc>
              <w:tc>
                <w:tcPr>
                  <w:tcW w:w="931" w:type="dxa"/>
                  <w:vAlign w:val="center"/>
                </w:tcPr>
                <w:p>
                  <w:pPr>
                    <w:spacing w:line="360" w:lineRule="auto"/>
                    <w:ind w:right="-34" w:rightChars="-16"/>
                    <w:jc w:val="center"/>
                    <w:rPr>
                      <w:sz w:val="21"/>
                    </w:rPr>
                  </w:pPr>
                  <w:r>
                    <w:rPr>
                      <w:rFonts w:hint="eastAsia" w:ascii="华文中宋" w:hAnsi="华文中宋" w:eastAsia="华文中宋"/>
                      <w:bCs/>
                      <w:szCs w:val="21"/>
                    </w:rPr>
                    <w:t>50 μL</w:t>
                  </w:r>
                </w:p>
              </w:tc>
              <w:tc>
                <w:tcPr>
                  <w:tcW w:w="1614" w:type="dxa"/>
                  <w:vAlign w:val="center"/>
                </w:tcPr>
                <w:p>
                  <w:pPr>
                    <w:spacing w:line="360" w:lineRule="auto"/>
                    <w:ind w:right="-34" w:rightChars="-16"/>
                    <w:jc w:val="center"/>
                    <w:rPr>
                      <w:sz w:val="21"/>
                    </w:rPr>
                  </w:pPr>
                  <w:r>
                    <w:rPr>
                      <w:rFonts w:ascii="华文中宋" w:hAnsi="华文中宋" w:eastAsia="华文中宋"/>
                      <w:bCs/>
                      <w:szCs w:val="21"/>
                    </w:rPr>
                    <w:t>0.5</w:t>
                  </w:r>
                  <w:r>
                    <w:rPr>
                      <w:rFonts w:hint="eastAsia" w:ascii="华文中宋" w:hAnsi="华文中宋" w:eastAsia="华文中宋"/>
                      <w:bCs/>
                      <w:szCs w:val="21"/>
                    </w:rPr>
                    <w:t>mL黄</w:t>
                  </w:r>
                  <w:r>
                    <w:rPr>
                      <w:rFonts w:ascii="华文中宋" w:hAnsi="华文中宋" w:eastAsia="华文中宋"/>
                      <w:bCs/>
                      <w:szCs w:val="21"/>
                    </w:rPr>
                    <w:t>盖</w:t>
                  </w:r>
                  <w:r>
                    <w:rPr>
                      <w:rFonts w:hint="eastAsia" w:ascii="华文中宋" w:hAnsi="华文中宋" w:eastAsia="华文中宋"/>
                      <w:bCs/>
                      <w:szCs w:val="21"/>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566" w:type="dxa"/>
                  <w:shd w:val="clear" w:color="auto" w:fill="auto"/>
                  <w:noWrap/>
                  <w:vAlign w:val="center"/>
                </w:tcPr>
                <w:p>
                  <w:pPr>
                    <w:pStyle w:val="6"/>
                    <w:spacing w:line="220" w:lineRule="exact"/>
                    <w:ind w:left="137" w:leftChars="0" w:right="134" w:rightChars="0"/>
                    <w:jc w:val="center"/>
                    <w:rPr>
                      <w:rFonts w:ascii="华文中宋" w:hAnsi="华文中宋" w:eastAsia="华文中宋" w:cs="华文中宋"/>
                      <w:bCs/>
                      <w:kern w:val="2"/>
                      <w:sz w:val="21"/>
                      <w:szCs w:val="21"/>
                      <w:lang w:val="zh-CN" w:eastAsia="zh-CN" w:bidi="zh-CN"/>
                    </w:rPr>
                  </w:pPr>
                  <w:r>
                    <w:rPr>
                      <w:sz w:val="21"/>
                    </w:rPr>
                    <w:t>使用手册</w:t>
                  </w:r>
                </w:p>
              </w:tc>
              <w:tc>
                <w:tcPr>
                  <w:tcW w:w="1880" w:type="dxa"/>
                  <w:vAlign w:val="center"/>
                </w:tcPr>
                <w:p>
                  <w:pPr>
                    <w:pStyle w:val="6"/>
                    <w:spacing w:before="73"/>
                    <w:ind w:left="120" w:leftChars="0" w:right="85" w:rightChars="0"/>
                    <w:jc w:val="center"/>
                    <w:rPr>
                      <w:rFonts w:ascii="华文中宋" w:hAnsi="华文中宋" w:eastAsia="华文中宋" w:cs="华文中宋"/>
                      <w:bCs/>
                      <w:kern w:val="2"/>
                      <w:sz w:val="21"/>
                      <w:szCs w:val="21"/>
                      <w:lang w:val="zh-CN" w:eastAsia="zh-CN" w:bidi="zh-CN"/>
                    </w:rPr>
                  </w:pPr>
                  <w:r>
                    <w:rPr>
                      <w:sz w:val="21"/>
                    </w:rPr>
                    <w:t>15-54100sc</w:t>
                  </w:r>
                </w:p>
              </w:tc>
              <w:tc>
                <w:tcPr>
                  <w:tcW w:w="931" w:type="dxa"/>
                  <w:vAlign w:val="center"/>
                </w:tcPr>
                <w:p>
                  <w:pPr>
                    <w:spacing w:line="360" w:lineRule="auto"/>
                    <w:ind w:right="-34" w:rightChars="-16"/>
                    <w:jc w:val="center"/>
                    <w:rPr>
                      <w:rFonts w:ascii="华文中宋" w:hAnsi="华文中宋" w:eastAsia="华文中宋" w:cs="华文中宋"/>
                      <w:kern w:val="2"/>
                      <w:sz w:val="21"/>
                      <w:szCs w:val="24"/>
                      <w:lang w:val="zh-CN" w:eastAsia="zh-CN" w:bidi="zh-CN"/>
                    </w:rPr>
                  </w:pPr>
                  <w:r>
                    <w:rPr>
                      <w:rFonts w:ascii="华文中宋" w:hAnsi="华文中宋" w:eastAsia="华文中宋"/>
                      <w:bCs/>
                      <w:szCs w:val="21"/>
                    </w:rPr>
                    <w:t>1份</w:t>
                  </w:r>
                </w:p>
              </w:tc>
              <w:tc>
                <w:tcPr>
                  <w:tcW w:w="1614" w:type="dxa"/>
                  <w:vAlign w:val="top"/>
                </w:tcPr>
                <w:p>
                  <w:pPr>
                    <w:spacing w:line="360" w:lineRule="auto"/>
                    <w:ind w:right="-34" w:rightChars="-16"/>
                    <w:jc w:val="center"/>
                    <w:rPr>
                      <w:sz w:val="21"/>
                    </w:rPr>
                  </w:pPr>
                  <w:r>
                    <w:rPr>
                      <w:rFonts w:hint="eastAsia" w:ascii="华文中宋" w:hAnsi="华文中宋" w:eastAsia="华文中宋"/>
                      <w:bCs/>
                      <w:szCs w:val="21"/>
                    </w:rPr>
                    <w:t>无</w:t>
                  </w:r>
                </w:p>
              </w:tc>
            </w:tr>
          </w:tbl>
          <w:p>
            <w:pPr>
              <w:spacing w:line="360" w:lineRule="auto"/>
              <w:jc w:val="center"/>
              <w:rPr>
                <w:rFonts w:hint="eastAsia" w:ascii="华文中宋" w:hAnsi="华文中宋" w:eastAsia="华文中宋"/>
                <w:szCs w:val="21"/>
                <w:highlight w:val="none"/>
              </w:rPr>
            </w:pPr>
            <w:r>
              <w:rPr>
                <w:rFonts w:hint="eastAsia" w:ascii="华文中宋" w:hAnsi="华文中宋" w:eastAsia="华文中宋"/>
                <w:szCs w:val="21"/>
              </w:rPr>
              <w:t>本产品采用五孔盒包装</w:t>
            </w:r>
          </w:p>
          <w:p>
            <w:pPr>
              <w:spacing w:line="360" w:lineRule="auto"/>
              <w:rPr>
                <w:rFonts w:ascii="华文中宋" w:hAnsi="华文中宋" w:eastAsia="华文中宋" w:cs="华文中宋"/>
                <w:szCs w:val="21"/>
              </w:rPr>
            </w:pPr>
            <w:r>
              <w:rPr>
                <w:rFonts w:hint="eastAsia" w:ascii="华文中宋" w:hAnsi="华文中宋" w:eastAsia="华文中宋"/>
                <w:szCs w:val="21"/>
                <w:highlight w:val="none"/>
              </w:rPr>
              <w:t>注意：引物-探针干粉在使用前需要短暂离心，然后在离心管中加入1</w:t>
            </w:r>
            <w:r>
              <w:rPr>
                <w:rFonts w:hint="eastAsia" w:ascii="华文中宋" w:hAnsi="华文中宋" w:eastAsia="华文中宋"/>
                <w:szCs w:val="21"/>
                <w:highlight w:val="none"/>
                <w:lang w:val="en-US" w:eastAsia="zh-CN"/>
              </w:rPr>
              <w:t>62</w:t>
            </w:r>
            <w:r>
              <w:rPr>
                <w:rFonts w:hint="eastAsia" w:ascii="华文中宋" w:hAnsi="华文中宋" w:eastAsia="华文中宋"/>
                <w:szCs w:val="21"/>
                <w:highlight w:val="none"/>
              </w:rPr>
              <w:t>uL的超纯水充分混匀</w:t>
            </w:r>
            <w:r>
              <w:rPr>
                <w:rFonts w:hint="eastAsia" w:ascii="华文中宋" w:hAnsi="华文中宋" w:eastAsia="华文中宋"/>
                <w:szCs w:val="21"/>
                <w:highlight w:val="none"/>
                <w:lang w:val="en-US" w:eastAsia="zh-CN"/>
              </w:rPr>
              <w:t>后</w:t>
            </w:r>
            <w:r>
              <w:rPr>
                <w:rFonts w:hint="eastAsia" w:ascii="华文中宋" w:hAnsi="华文中宋" w:eastAsia="华文中宋"/>
                <w:szCs w:val="21"/>
                <w:highlight w:val="none"/>
              </w:rPr>
              <w:t>再使用，未用完的需要-</w:t>
            </w:r>
            <w:r>
              <w:rPr>
                <w:rFonts w:ascii="华文中宋" w:hAnsi="华文中宋" w:eastAsia="华文中宋"/>
                <w:szCs w:val="21"/>
                <w:highlight w:val="none"/>
              </w:rPr>
              <w:t>20</w:t>
            </w:r>
            <w:r>
              <w:rPr>
                <w:rFonts w:hint="eastAsia" w:ascii="华文中宋" w:hAnsi="华文中宋" w:eastAsia="华文中宋"/>
                <w:szCs w:val="21"/>
                <w:highlight w:val="none"/>
              </w:rPr>
              <w:t>℃保存。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52" w:type="dxa"/>
          </w:tcPr>
          <w:p>
            <w:pPr>
              <w:spacing w:line="360" w:lineRule="auto"/>
              <w:jc w:val="right"/>
              <w:rPr>
                <w:rFonts w:ascii="华文中宋" w:hAnsi="华文中宋" w:eastAsia="华文中宋"/>
              </w:rPr>
            </w:pPr>
            <w:r>
              <w:rPr>
                <w:rFonts w:hint="eastAsia" w:ascii="华文中宋" w:hAnsi="华文中宋" w:eastAsia="华文中宋"/>
                <w:b/>
                <w:sz w:val="28"/>
                <w:szCs w:val="28"/>
              </w:rPr>
              <w:t>运输及保存</w:t>
            </w:r>
          </w:p>
        </w:tc>
        <w:tc>
          <w:tcPr>
            <w:tcW w:w="8491" w:type="dxa"/>
            <w:gridSpan w:val="2"/>
            <w:vAlign w:val="center"/>
          </w:tcPr>
          <w:p>
            <w:pPr>
              <w:spacing w:line="360" w:lineRule="auto"/>
              <w:rPr>
                <w:rFonts w:ascii="华文中宋" w:hAnsi="华文中宋" w:eastAsia="华文中宋" w:cs="华文中宋"/>
                <w:b/>
                <w:spacing w:val="-20"/>
                <w:szCs w:val="21"/>
              </w:rPr>
            </w:pPr>
            <w:r>
              <w:rPr>
                <w:rFonts w:hint="eastAsia" w:ascii="华文中宋" w:hAnsi="华文中宋" w:eastAsia="华文中宋" w:cs="华文中宋"/>
                <w:color w:val="000000"/>
                <w:spacing w:val="1"/>
                <w:szCs w:val="21"/>
              </w:rPr>
              <w:t>低温运输，-20℃保存，保存期限为12个月。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52" w:type="dxa"/>
          </w:tcPr>
          <w:p>
            <w:pPr>
              <w:pStyle w:val="6"/>
              <w:spacing w:before="80"/>
              <w:ind w:right="100"/>
              <w:jc w:val="right"/>
              <w:rPr>
                <w:b/>
                <w:sz w:val="28"/>
                <w:szCs w:val="28"/>
              </w:rPr>
            </w:pPr>
            <w:r>
              <w:rPr>
                <w:b/>
                <w:sz w:val="28"/>
              </w:rPr>
              <w:t>自备试剂</w:t>
            </w:r>
          </w:p>
        </w:tc>
        <w:tc>
          <w:tcPr>
            <w:tcW w:w="8491" w:type="dxa"/>
            <w:gridSpan w:val="2"/>
          </w:tcPr>
          <w:p>
            <w:pPr>
              <w:pStyle w:val="6"/>
              <w:spacing w:before="136" w:line="360" w:lineRule="auto"/>
              <w:jc w:val="left"/>
              <w:rPr>
                <w:szCs w:val="21"/>
              </w:rPr>
            </w:pPr>
            <w:r>
              <w:rPr>
                <w:rFonts w:hint="eastAsia"/>
                <w:sz w:val="21"/>
              </w:rPr>
              <w:t>样品RNA。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60" w:hRule="atLeast"/>
          <w:jc w:val="center"/>
        </w:trPr>
        <w:tc>
          <w:tcPr>
            <w:tcW w:w="1752" w:type="dxa"/>
          </w:tcPr>
          <w:p>
            <w:pPr>
              <w:spacing w:line="360" w:lineRule="auto"/>
              <w:jc w:val="right"/>
              <w:rPr>
                <w:rFonts w:ascii="华文中宋" w:hAnsi="华文中宋" w:eastAsia="华文中宋"/>
              </w:rPr>
            </w:pPr>
            <w:r>
              <w:rPr>
                <w:rFonts w:hint="eastAsia" w:ascii="华文中宋" w:hAnsi="华文中宋" w:eastAsia="华文中宋"/>
                <w:b/>
                <w:sz w:val="28"/>
                <w:szCs w:val="28"/>
              </w:rPr>
              <w:t>使用方法</w:t>
            </w:r>
          </w:p>
        </w:tc>
        <w:tc>
          <w:tcPr>
            <w:tcW w:w="8491" w:type="dxa"/>
            <w:gridSpan w:val="2"/>
          </w:tcPr>
          <w:p>
            <w:pPr>
              <w:spacing w:line="468" w:lineRule="exact"/>
              <w:rPr>
                <w:rFonts w:ascii="华文中宋" w:hAnsi="华文中宋" w:eastAsia="华文中宋" w:cs="华文中宋"/>
                <w:color w:val="000000"/>
                <w:spacing w:val="2"/>
                <w:szCs w:val="21"/>
              </w:rPr>
            </w:pPr>
            <w:r>
              <w:rPr>
                <w:rFonts w:hint="eastAsia" w:ascii="华文中宋" w:hAnsi="华文中宋" w:eastAsia="华文中宋" w:cs="华文中宋"/>
                <w:b/>
                <w:spacing w:val="-4"/>
                <w:lang w:bidi="zh-CN"/>
              </w:rPr>
              <w:t>一、稀释PCR阳性对照</w:t>
            </w:r>
            <w:r>
              <w:rPr>
                <w:rFonts w:hint="eastAsia" w:ascii="华文中宋" w:hAnsi="华文中宋" w:eastAsia="华文中宋" w:cs="华文中宋"/>
                <w:color w:val="000000"/>
                <w:spacing w:val="2"/>
                <w:szCs w:val="21"/>
              </w:rPr>
              <w:t>（以10E2-10E6拷贝/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L这</w:t>
            </w:r>
            <w:r>
              <w:rPr>
                <w:rFonts w:hint="eastAsia" w:ascii="华文中宋" w:hAnsi="华文中宋" w:eastAsia="华文中宋" w:cs="华文中宋"/>
                <w:color w:val="000000"/>
                <w:spacing w:val="2"/>
                <w:szCs w:val="21"/>
                <w:lang w:val="en-US" w:eastAsia="zh-CN"/>
              </w:rPr>
              <w:t>6</w:t>
            </w:r>
            <w:r>
              <w:rPr>
                <w:rFonts w:hint="eastAsia" w:ascii="华文中宋" w:hAnsi="华文中宋" w:eastAsia="华文中宋" w:cs="华文中宋"/>
                <w:color w:val="000000"/>
                <w:spacing w:val="2"/>
                <w:szCs w:val="21"/>
              </w:rPr>
              <w:t>个10倍稀释度为例）</w:t>
            </w:r>
          </w:p>
          <w:p>
            <w:pPr>
              <w:numPr>
                <w:ilvl w:val="0"/>
                <w:numId w:val="0"/>
              </w:numPr>
              <w:spacing w:line="468" w:lineRule="exact"/>
              <w:ind w:leftChars="0"/>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由于</w:t>
            </w:r>
            <w:r>
              <w:rPr>
                <w:rFonts w:hint="eastAsia" w:ascii="华文中宋" w:hAnsi="华文中宋" w:eastAsia="华文中宋" w:cs="华文中宋"/>
                <w:color w:val="000000"/>
                <w:spacing w:val="2"/>
                <w:szCs w:val="21"/>
                <w:lang w:eastAsia="zh-CN"/>
              </w:rPr>
              <w:t>标准品</w:t>
            </w:r>
            <w:r>
              <w:rPr>
                <w:rFonts w:hint="eastAsia" w:ascii="华文中宋" w:hAnsi="华文中宋" w:eastAsia="华文中宋" w:cs="华文中宋"/>
                <w:color w:val="000000"/>
                <w:spacing w:val="2"/>
                <w:szCs w:val="21"/>
              </w:rPr>
              <w:t>浓度非常高，因此下列稀释操作一定要在独立的区域进行，千万不能污染样品或本试剂盒的其他成分。为增加产品稳定性和避免扩散传染性病原，本产品不提供活体样品做阳性对照，只提供</w:t>
            </w:r>
            <w:r>
              <w:rPr>
                <w:rFonts w:hint="eastAsia" w:ascii="华文中宋" w:hAnsi="华文中宋" w:eastAsia="华文中宋" w:cs="华文中宋"/>
                <w:color w:val="000000"/>
                <w:spacing w:val="2"/>
                <w:szCs w:val="21"/>
                <w:lang w:eastAsia="zh-CN"/>
              </w:rPr>
              <w:t>无传染性</w:t>
            </w:r>
            <w:r>
              <w:rPr>
                <w:rFonts w:hint="eastAsia" w:ascii="华文中宋" w:hAnsi="华文中宋" w:eastAsia="华文中宋" w:cs="华文中宋"/>
                <w:color w:val="000000"/>
                <w:spacing w:val="2"/>
                <w:szCs w:val="21"/>
              </w:rPr>
              <w:t>的DNA片段作为阳性对照。</w:t>
            </w:r>
          </w:p>
          <w:p>
            <w:pPr>
              <w:numPr>
                <w:ilvl w:val="0"/>
                <w:numId w:val="2"/>
              </w:numPr>
              <w:spacing w:line="468" w:lineRule="exact"/>
              <w:ind w:left="425" w:leftChars="0" w:hanging="425" w:firstLineChars="0"/>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标记</w:t>
            </w:r>
            <w:r>
              <w:rPr>
                <w:rFonts w:hint="eastAsia" w:ascii="华文中宋" w:hAnsi="华文中宋" w:eastAsia="华文中宋" w:cs="华文中宋"/>
                <w:color w:val="000000"/>
                <w:spacing w:val="2"/>
                <w:szCs w:val="21"/>
                <w:lang w:val="en-US" w:eastAsia="zh-CN"/>
              </w:rPr>
              <w:t>6</w:t>
            </w:r>
            <w:r>
              <w:rPr>
                <w:rFonts w:hint="eastAsia" w:ascii="华文中宋" w:hAnsi="华文中宋" w:eastAsia="华文中宋" w:cs="华文中宋"/>
                <w:color w:val="000000"/>
                <w:spacing w:val="2"/>
                <w:szCs w:val="21"/>
              </w:rPr>
              <w:t>个离心管，分别为6，5，4，3，2</w:t>
            </w:r>
            <w:r>
              <w:rPr>
                <w:rFonts w:hint="eastAsia" w:ascii="华文中宋" w:hAnsi="华文中宋" w:eastAsia="华文中宋" w:cs="华文中宋"/>
                <w:color w:val="000000"/>
                <w:spacing w:val="2"/>
                <w:szCs w:val="21"/>
                <w:lang w:val="en-US" w:eastAsia="zh-CN"/>
              </w:rPr>
              <w:t>,1</w:t>
            </w:r>
            <w:r>
              <w:rPr>
                <w:rFonts w:hint="eastAsia" w:ascii="华文中宋" w:hAnsi="华文中宋" w:eastAsia="华文中宋" w:cs="华文中宋"/>
                <w:color w:val="000000"/>
                <w:spacing w:val="2"/>
                <w:szCs w:val="21"/>
              </w:rPr>
              <w:t>。</w:t>
            </w:r>
          </w:p>
          <w:p>
            <w:pPr>
              <w:numPr>
                <w:ilvl w:val="0"/>
                <w:numId w:val="2"/>
              </w:numPr>
              <w:spacing w:line="468" w:lineRule="exact"/>
              <w:ind w:left="425" w:leftChars="0" w:hanging="425" w:firstLineChars="0"/>
            </w:pPr>
            <w:r>
              <w:rPr>
                <w:rFonts w:hint="eastAsia" w:ascii="华文中宋" w:hAnsi="华文中宋" w:eastAsia="华文中宋" w:cs="华文中宋"/>
                <w:color w:val="000000"/>
                <w:spacing w:val="2"/>
                <w:szCs w:val="21"/>
              </w:rPr>
              <w:t>用带芯枪头分别加入45</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L荧光PCR专用模板稀释液（最好用带芯枪头，下同）。</w:t>
            </w:r>
          </w:p>
          <w:p>
            <w:pPr>
              <w:numPr>
                <w:ilvl w:val="0"/>
                <w:numId w:val="2"/>
              </w:numPr>
              <w:spacing w:line="468" w:lineRule="exact"/>
              <w:ind w:left="425" w:leftChars="0" w:hanging="425" w:firstLineChars="0"/>
              <w:rPr>
                <w:rFonts w:ascii="华文中宋" w:hAnsi="华文中宋" w:eastAsia="华文中宋" w:cs="华文中宋"/>
                <w:color w:val="000000"/>
                <w:spacing w:val="2"/>
                <w:szCs w:val="21"/>
                <w:lang w:eastAsia="en-US"/>
              </w:rPr>
            </w:pPr>
            <w:r>
              <w:rPr>
                <w:rFonts w:hint="eastAsia" w:ascii="华文中宋" w:hAnsi="华文中宋" w:eastAsia="华文中宋" w:cs="华文中宋"/>
                <w:color w:val="000000"/>
                <w:spacing w:val="2"/>
                <w:szCs w:val="21"/>
              </w:rPr>
              <w:t>在6号管中加入5</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L1×10E7拷贝/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L的阳性对照</w:t>
            </w:r>
            <w:r>
              <w:rPr>
                <w:rFonts w:hint="eastAsia" w:ascii="华文中宋" w:hAnsi="华文中宋" w:eastAsia="华文中宋" w:cs="华文中宋"/>
                <w:color w:val="000000"/>
                <w:spacing w:val="2"/>
                <w:szCs w:val="21"/>
                <w:lang w:eastAsia="zh-CN"/>
              </w:rPr>
              <w:t>（试剂盒提供）</w:t>
            </w:r>
            <w:r>
              <w:rPr>
                <w:rFonts w:hint="eastAsia" w:ascii="华文中宋" w:hAnsi="华文中宋" w:eastAsia="华文中宋" w:cs="华文中宋"/>
                <w:color w:val="000000"/>
                <w:spacing w:val="2"/>
                <w:szCs w:val="21"/>
              </w:rPr>
              <w:t>，充分震荡1分钟，得1×10E6拷贝/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L的</w:t>
            </w:r>
            <w:r>
              <w:rPr>
                <w:rFonts w:hint="eastAsia" w:ascii="华文中宋" w:hAnsi="华文中宋" w:eastAsia="华文中宋" w:cs="华文中宋"/>
                <w:color w:val="000000"/>
                <w:spacing w:val="2"/>
                <w:szCs w:val="21"/>
                <w:lang w:eastAsia="zh-CN"/>
              </w:rPr>
              <w:t>标准曲线样品</w:t>
            </w:r>
            <w:r>
              <w:rPr>
                <w:rFonts w:hint="eastAsia" w:ascii="华文中宋" w:hAnsi="华文中宋" w:eastAsia="华文中宋" w:cs="华文中宋"/>
                <w:color w:val="000000"/>
                <w:spacing w:val="2"/>
                <w:szCs w:val="21"/>
              </w:rPr>
              <w:t>。</w:t>
            </w:r>
            <w:r>
              <w:rPr>
                <w:rFonts w:hint="eastAsia" w:ascii="华文中宋" w:hAnsi="华文中宋" w:eastAsia="华文中宋" w:cs="华文中宋"/>
                <w:color w:val="000000"/>
                <w:spacing w:val="2"/>
                <w:szCs w:val="21"/>
                <w:lang w:eastAsia="en-US"/>
              </w:rPr>
              <w:t>放冰上待用。</w:t>
            </w:r>
          </w:p>
          <w:p>
            <w:pPr>
              <w:numPr>
                <w:ilvl w:val="0"/>
                <w:numId w:val="2"/>
              </w:numPr>
              <w:spacing w:line="468" w:lineRule="exact"/>
              <w:ind w:left="425" w:leftChars="0" w:hanging="425" w:firstLineChars="0"/>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换枪头，在5号管中加入5</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L1×10E6拷贝/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L的阳性对照(上步稀释所得)，充分震荡1分钟，得1×10E5拷贝/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L的</w:t>
            </w:r>
            <w:r>
              <w:rPr>
                <w:rFonts w:hint="eastAsia" w:ascii="华文中宋" w:hAnsi="华文中宋" w:eastAsia="华文中宋" w:cs="华文中宋"/>
                <w:color w:val="000000"/>
                <w:spacing w:val="2"/>
                <w:szCs w:val="21"/>
                <w:lang w:eastAsia="zh-CN"/>
              </w:rPr>
              <w:t>标准曲线样品</w:t>
            </w:r>
            <w:r>
              <w:rPr>
                <w:rFonts w:hint="eastAsia" w:ascii="华文中宋" w:hAnsi="华文中宋" w:eastAsia="华文中宋" w:cs="华文中宋"/>
                <w:color w:val="000000"/>
                <w:spacing w:val="2"/>
                <w:szCs w:val="21"/>
              </w:rPr>
              <w:t>。</w:t>
            </w:r>
            <w:r>
              <w:rPr>
                <w:rFonts w:hint="eastAsia" w:ascii="华文中宋" w:hAnsi="华文中宋" w:eastAsia="华文中宋" w:cs="华文中宋"/>
                <w:color w:val="000000"/>
                <w:spacing w:val="2"/>
                <w:szCs w:val="21"/>
                <w:lang w:eastAsia="en-US"/>
              </w:rPr>
              <w:t>放冰上待用。</w:t>
            </w:r>
          </w:p>
          <w:p>
            <w:pPr>
              <w:numPr>
                <w:ilvl w:val="0"/>
                <w:numId w:val="2"/>
              </w:numPr>
              <w:spacing w:line="468" w:lineRule="exact"/>
              <w:ind w:left="425" w:leftChars="0" w:hanging="425" w:firstLineChars="0"/>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换枪头，在4号管中加入5</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L1×10E5拷贝/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L的阳性对照</w:t>
            </w:r>
            <w:r>
              <w:rPr>
                <w:rFonts w:hint="eastAsia" w:ascii="华文中宋" w:hAnsi="华文中宋" w:eastAsia="华文中宋" w:cs="华文中宋"/>
                <w:color w:val="000000"/>
                <w:spacing w:val="2"/>
                <w:szCs w:val="21"/>
                <w:lang w:eastAsia="zh-CN"/>
              </w:rPr>
              <w:t>（</w:t>
            </w:r>
            <w:r>
              <w:rPr>
                <w:rFonts w:hint="eastAsia" w:ascii="华文中宋" w:hAnsi="华文中宋" w:eastAsia="华文中宋" w:cs="华文中宋"/>
                <w:color w:val="000000"/>
                <w:spacing w:val="2"/>
                <w:szCs w:val="21"/>
              </w:rPr>
              <w:t>上步稀释所得)，充分震荡1分钟，得1×10E</w:t>
            </w:r>
            <w:r>
              <w:rPr>
                <w:rFonts w:ascii="华文中宋" w:hAnsi="华文中宋" w:eastAsia="华文中宋" w:cs="华文中宋"/>
                <w:color w:val="000000"/>
                <w:spacing w:val="2"/>
                <w:szCs w:val="21"/>
              </w:rPr>
              <w:t>4</w:t>
            </w:r>
            <w:r>
              <w:rPr>
                <w:rFonts w:hint="eastAsia" w:ascii="华文中宋" w:hAnsi="华文中宋" w:eastAsia="华文中宋" w:cs="华文中宋"/>
                <w:color w:val="000000"/>
                <w:spacing w:val="2"/>
                <w:szCs w:val="21"/>
              </w:rPr>
              <w:t>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L的</w:t>
            </w:r>
            <w:r>
              <w:rPr>
                <w:rFonts w:hint="eastAsia" w:ascii="华文中宋" w:hAnsi="华文中宋" w:eastAsia="华文中宋" w:cs="华文中宋"/>
                <w:color w:val="000000"/>
                <w:spacing w:val="2"/>
                <w:szCs w:val="21"/>
                <w:lang w:eastAsia="zh-CN"/>
              </w:rPr>
              <w:t>标准曲线样品</w:t>
            </w:r>
            <w:r>
              <w:rPr>
                <w:rFonts w:hint="eastAsia" w:ascii="华文中宋" w:hAnsi="华文中宋" w:eastAsia="华文中宋" w:cs="华文中宋"/>
                <w:color w:val="000000"/>
                <w:spacing w:val="2"/>
                <w:szCs w:val="21"/>
              </w:rPr>
              <w:t>。放冰上待用。</w:t>
            </w:r>
          </w:p>
          <w:p>
            <w:pPr>
              <w:numPr>
                <w:ilvl w:val="0"/>
                <w:numId w:val="2"/>
              </w:numPr>
              <w:spacing w:line="468" w:lineRule="exact"/>
              <w:ind w:left="425" w:leftChars="0" w:hanging="425" w:firstLineChars="0"/>
              <w:rPr>
                <w:b/>
              </w:rPr>
            </w:pPr>
            <w:r>
              <w:rPr>
                <w:rFonts w:hint="eastAsia" w:ascii="华文中宋" w:hAnsi="华文中宋" w:eastAsia="华文中宋" w:cs="华文中宋"/>
                <w:color w:val="000000"/>
                <w:spacing w:val="2"/>
                <w:szCs w:val="21"/>
              </w:rPr>
              <w:t>重复上面的操作直到得到</w:t>
            </w:r>
            <w:r>
              <w:rPr>
                <w:rFonts w:hint="eastAsia" w:ascii="华文中宋" w:hAnsi="华文中宋" w:eastAsia="华文中宋" w:cs="华文中宋"/>
                <w:color w:val="000000"/>
                <w:spacing w:val="2"/>
                <w:szCs w:val="21"/>
                <w:lang w:val="en-US" w:eastAsia="zh-CN"/>
              </w:rPr>
              <w:t>6</w:t>
            </w:r>
            <w:r>
              <w:rPr>
                <w:rFonts w:hint="eastAsia" w:ascii="华文中宋" w:hAnsi="华文中宋" w:eastAsia="华文中宋" w:cs="华文中宋"/>
                <w:color w:val="000000"/>
                <w:spacing w:val="2"/>
                <w:szCs w:val="21"/>
              </w:rPr>
              <w:t>个稀释度的</w:t>
            </w:r>
            <w:r>
              <w:rPr>
                <w:rFonts w:hint="eastAsia" w:ascii="华文中宋" w:hAnsi="华文中宋" w:eastAsia="华文中宋" w:cs="华文中宋"/>
                <w:color w:val="000000"/>
                <w:spacing w:val="2"/>
                <w:szCs w:val="21"/>
                <w:lang w:eastAsia="zh-CN"/>
              </w:rPr>
              <w:t>标准曲线样品。</w:t>
            </w:r>
            <w:r>
              <w:rPr>
                <w:rFonts w:hint="eastAsia" w:ascii="华文中宋" w:hAnsi="华文中宋" w:eastAsia="华文中宋" w:cs="华文中宋"/>
                <w:color w:val="000000"/>
                <w:spacing w:val="2"/>
                <w:szCs w:val="21"/>
              </w:rPr>
              <w:t>放冰上用。</w:t>
            </w:r>
          </w:p>
          <w:p>
            <w:pPr>
              <w:numPr>
                <w:ilvl w:val="0"/>
                <w:numId w:val="3"/>
              </w:numPr>
              <w:spacing w:line="468" w:lineRule="exact"/>
              <w:ind w:leftChars="0"/>
              <w:rPr>
                <w:rFonts w:hint="eastAsia"/>
                <w:b/>
                <w:spacing w:val="-4"/>
              </w:rPr>
            </w:pPr>
            <w:r>
              <w:rPr>
                <w:rFonts w:hint="eastAsia" w:ascii="华文中宋" w:hAnsi="华文中宋" w:eastAsia="华文中宋"/>
                <w:b/>
                <w:szCs w:val="21"/>
              </w:rPr>
              <w:t>样品RNA的制备</w:t>
            </w:r>
          </w:p>
          <w:p>
            <w:pPr>
              <w:numPr>
                <w:ilvl w:val="0"/>
                <w:numId w:val="2"/>
              </w:numPr>
              <w:spacing w:line="468" w:lineRule="exact"/>
              <w:ind w:left="425" w:leftChars="0" w:hanging="425" w:firstLineChars="0"/>
              <w:rPr>
                <w:rFonts w:hint="eastAsia" w:ascii="华文中宋" w:hAnsi="华文中宋" w:eastAsia="华文中宋" w:cs="华文中宋"/>
                <w:color w:val="000000"/>
                <w:spacing w:val="2"/>
                <w:szCs w:val="21"/>
              </w:rPr>
            </w:pPr>
            <w:r>
              <w:rPr>
                <w:rFonts w:hint="eastAsia" w:ascii="华文中宋" w:hAnsi="华文中宋" w:eastAsia="华文中宋"/>
                <w:szCs w:val="21"/>
              </w:rPr>
              <w:t>如果</w:t>
            </w:r>
            <w:r>
              <w:rPr>
                <w:rFonts w:ascii="华文中宋" w:hAnsi="华文中宋" w:eastAsia="华文中宋"/>
                <w:szCs w:val="21"/>
              </w:rPr>
              <w:t>有N个样品，</w:t>
            </w:r>
            <w:r>
              <w:rPr>
                <w:rFonts w:hint="eastAsia" w:ascii="华文中宋" w:hAnsi="华文中宋" w:eastAsia="华文中宋"/>
                <w:szCs w:val="21"/>
              </w:rPr>
              <w:t>最好</w:t>
            </w:r>
            <w:r>
              <w:rPr>
                <w:rFonts w:ascii="华文中宋" w:hAnsi="华文中宋" w:eastAsia="华文中宋"/>
                <w:szCs w:val="21"/>
              </w:rPr>
              <w:t>设置N+2个提取，多出的一个是PC（</w:t>
            </w:r>
            <w:r>
              <w:rPr>
                <w:rFonts w:hint="eastAsia" w:ascii="华文中宋" w:hAnsi="华文中宋" w:eastAsia="华文中宋"/>
                <w:szCs w:val="21"/>
              </w:rPr>
              <w:t>样品制备阳性</w:t>
            </w:r>
            <w:r>
              <w:rPr>
                <w:rFonts w:ascii="华文中宋" w:hAnsi="华文中宋" w:eastAsia="华文中宋"/>
                <w:szCs w:val="21"/>
              </w:rPr>
              <w:t>对照）</w:t>
            </w:r>
            <w:r>
              <w:rPr>
                <w:rFonts w:hint="eastAsia" w:ascii="华文中宋" w:hAnsi="华文中宋" w:eastAsia="华文中宋"/>
                <w:szCs w:val="21"/>
              </w:rPr>
              <w:t>，</w:t>
            </w:r>
            <w:r>
              <w:rPr>
                <w:rFonts w:ascii="华文中宋" w:hAnsi="华文中宋" w:eastAsia="华文中宋"/>
                <w:szCs w:val="21"/>
              </w:rPr>
              <w:t>一个是</w:t>
            </w:r>
            <w:r>
              <w:rPr>
                <w:rFonts w:hint="eastAsia" w:ascii="华文中宋" w:hAnsi="华文中宋" w:eastAsia="华文中宋"/>
                <w:szCs w:val="21"/>
              </w:rPr>
              <w:t>NC</w:t>
            </w:r>
            <w:r>
              <w:rPr>
                <w:rFonts w:ascii="华文中宋" w:hAnsi="华文中宋" w:eastAsia="华文中宋"/>
                <w:szCs w:val="21"/>
              </w:rPr>
              <w:t>（</w:t>
            </w:r>
            <w:r>
              <w:rPr>
                <w:rFonts w:hint="eastAsia" w:ascii="华文中宋" w:hAnsi="华文中宋" w:eastAsia="华文中宋"/>
                <w:szCs w:val="21"/>
              </w:rPr>
              <w:t>样品制备</w:t>
            </w:r>
            <w:r>
              <w:rPr>
                <w:rFonts w:ascii="华文中宋" w:hAnsi="华文中宋" w:eastAsia="华文中宋"/>
                <w:szCs w:val="21"/>
              </w:rPr>
              <w:t>阴性对照）</w:t>
            </w:r>
            <w:r>
              <w:rPr>
                <w:rFonts w:hint="eastAsia" w:ascii="华文中宋" w:hAnsi="华文中宋" w:eastAsia="华文中宋"/>
                <w:szCs w:val="21"/>
              </w:rPr>
              <w:t>。可以用10</w:t>
            </w:r>
            <w:r>
              <w:rPr>
                <w:rFonts w:ascii="华文中宋" w:hAnsi="华文中宋" w:eastAsia="华文中宋"/>
                <w:szCs w:val="21"/>
              </w:rPr>
              <w:t>μL</w:t>
            </w:r>
            <w:r>
              <w:rPr>
                <w:rFonts w:hint="eastAsia" w:ascii="华文中宋" w:hAnsi="华文中宋" w:eastAsia="华文中宋"/>
                <w:szCs w:val="21"/>
              </w:rPr>
              <w:t>上步所得4号稀释液再</w:t>
            </w:r>
            <w:r>
              <w:rPr>
                <w:rFonts w:ascii="华文中宋" w:hAnsi="华文中宋" w:eastAsia="华文中宋"/>
                <w:szCs w:val="21"/>
              </w:rPr>
              <w:t>加上一定量的水</w:t>
            </w:r>
            <w:r>
              <w:rPr>
                <w:rFonts w:hint="eastAsia" w:ascii="华文中宋" w:hAnsi="华文中宋" w:eastAsia="华文中宋"/>
                <w:szCs w:val="21"/>
              </w:rPr>
              <w:t>使总</w:t>
            </w:r>
            <w:r>
              <w:rPr>
                <w:rFonts w:ascii="华文中宋" w:hAnsi="华文中宋" w:eastAsia="华文中宋"/>
                <w:szCs w:val="21"/>
              </w:rPr>
              <w:t>体积跟</w:t>
            </w:r>
            <w:r>
              <w:rPr>
                <w:rFonts w:hint="eastAsia" w:ascii="华文中宋" w:hAnsi="华文中宋" w:eastAsia="华文中宋"/>
                <w:szCs w:val="21"/>
              </w:rPr>
              <w:t>核酸制备试剂盒所</w:t>
            </w:r>
            <w:r>
              <w:rPr>
                <w:rFonts w:ascii="华文中宋" w:hAnsi="华文中宋" w:eastAsia="华文中宋"/>
                <w:szCs w:val="21"/>
              </w:rPr>
              <w:t>要求的</w:t>
            </w:r>
            <w:r>
              <w:rPr>
                <w:rFonts w:hint="eastAsia" w:ascii="华文中宋" w:hAnsi="华文中宋" w:eastAsia="华文中宋"/>
                <w:szCs w:val="21"/>
              </w:rPr>
              <w:t>起始样本</w:t>
            </w:r>
            <w:r>
              <w:rPr>
                <w:rFonts w:ascii="华文中宋" w:hAnsi="华文中宋" w:eastAsia="华文中宋"/>
                <w:szCs w:val="21"/>
              </w:rPr>
              <w:t>体积一样</w:t>
            </w:r>
            <w:r>
              <w:rPr>
                <w:rFonts w:hint="eastAsia" w:ascii="华文中宋" w:hAnsi="华文中宋" w:eastAsia="华文中宋"/>
                <w:szCs w:val="21"/>
              </w:rPr>
              <w:t>，</w:t>
            </w:r>
            <w:r>
              <w:rPr>
                <w:rFonts w:ascii="华文中宋" w:hAnsi="华文中宋" w:eastAsia="华文中宋"/>
                <w:szCs w:val="21"/>
              </w:rPr>
              <w:t>以此</w:t>
            </w:r>
            <w:r>
              <w:rPr>
                <w:rFonts w:hint="eastAsia" w:ascii="华文中宋" w:hAnsi="华文中宋" w:eastAsia="华文中宋"/>
                <w:szCs w:val="21"/>
              </w:rPr>
              <w:t>作为PC</w:t>
            </w:r>
            <w:r>
              <w:rPr>
                <w:rFonts w:ascii="华文中宋" w:hAnsi="华文中宋" w:eastAsia="华文中宋"/>
                <w:szCs w:val="21"/>
              </w:rPr>
              <w:t>。</w:t>
            </w:r>
            <w:r>
              <w:rPr>
                <w:rFonts w:hint="eastAsia" w:ascii="华文中宋" w:hAnsi="华文中宋" w:eastAsia="华文中宋"/>
                <w:szCs w:val="21"/>
              </w:rPr>
              <w:t>另外</w:t>
            </w:r>
            <w:r>
              <w:rPr>
                <w:rFonts w:ascii="华文中宋" w:hAnsi="华文中宋" w:eastAsia="华文中宋"/>
                <w:szCs w:val="21"/>
              </w:rPr>
              <w:t>用水作为</w:t>
            </w:r>
            <w:r>
              <w:rPr>
                <w:rFonts w:hint="eastAsia" w:ascii="华文中宋" w:hAnsi="华文中宋" w:eastAsia="华文中宋"/>
                <w:szCs w:val="21"/>
              </w:rPr>
              <w:t>NC</w:t>
            </w:r>
            <w:r>
              <w:rPr>
                <w:rFonts w:hint="eastAsia" w:ascii="华文中宋" w:hAnsi="华文中宋" w:eastAsia="华文中宋"/>
                <w:szCs w:val="21"/>
                <w:lang w:eastAsia="zh-CN"/>
              </w:rPr>
              <w:t>。</w:t>
            </w:r>
          </w:p>
          <w:p>
            <w:pPr>
              <w:numPr>
                <w:ilvl w:val="0"/>
                <w:numId w:val="2"/>
              </w:numPr>
              <w:spacing w:line="468" w:lineRule="exact"/>
              <w:ind w:left="425" w:leftChars="0" w:hanging="425" w:firstLineChars="0"/>
              <w:rPr>
                <w:rFonts w:hint="eastAsia" w:ascii="华文中宋" w:hAnsi="华文中宋" w:eastAsia="华文中宋" w:cs="华文中宋"/>
                <w:color w:val="000000"/>
                <w:spacing w:val="2"/>
                <w:szCs w:val="21"/>
              </w:rPr>
            </w:pPr>
            <w:r>
              <w:rPr>
                <w:rFonts w:hint="eastAsia" w:ascii="华文中宋" w:hAnsi="华文中宋" w:eastAsia="华文中宋"/>
                <w:szCs w:val="21"/>
              </w:rPr>
              <w:t>用自选方法纯化样品的RNA，本试剂盒跟</w:t>
            </w:r>
            <w:r>
              <w:rPr>
                <w:rFonts w:ascii="华文中宋" w:hAnsi="华文中宋" w:eastAsia="华文中宋"/>
                <w:szCs w:val="21"/>
              </w:rPr>
              <w:t>市场上大多数RNA</w:t>
            </w:r>
            <w:r>
              <w:rPr>
                <w:rFonts w:hint="eastAsia" w:ascii="华文中宋" w:hAnsi="华文中宋" w:eastAsia="华文中宋"/>
                <w:szCs w:val="21"/>
              </w:rPr>
              <w:t>提取</w:t>
            </w:r>
            <w:r>
              <w:rPr>
                <w:rFonts w:ascii="华文中宋" w:hAnsi="华文中宋" w:eastAsia="华文中宋"/>
                <w:szCs w:val="21"/>
              </w:rPr>
              <w:t>试剂盒</w:t>
            </w:r>
            <w:r>
              <w:rPr>
                <w:rFonts w:hint="eastAsia" w:ascii="华文中宋" w:hAnsi="华文中宋" w:eastAsia="华文中宋"/>
                <w:szCs w:val="21"/>
              </w:rPr>
              <w:t>兼容，也可以</w:t>
            </w:r>
            <w:r>
              <w:rPr>
                <w:rFonts w:ascii="华文中宋" w:hAnsi="华文中宋" w:eastAsia="华文中宋"/>
                <w:szCs w:val="21"/>
              </w:rPr>
              <w:t>选购本公司的</w:t>
            </w:r>
            <w:r>
              <w:rPr>
                <w:rFonts w:hint="eastAsia" w:ascii="华文中宋" w:hAnsi="华文中宋" w:eastAsia="华文中宋"/>
                <w:szCs w:val="21"/>
              </w:rPr>
              <w:t>免提取核酸释放剂</w:t>
            </w:r>
          </w:p>
          <w:p>
            <w:pPr>
              <w:numPr>
                <w:ilvl w:val="0"/>
                <w:numId w:val="3"/>
              </w:numPr>
              <w:spacing w:line="468" w:lineRule="exact"/>
              <w:ind w:leftChars="0"/>
              <w:rPr>
                <w:rFonts w:hint="eastAsia"/>
                <w:b/>
                <w:spacing w:val="-4"/>
                <w:lang w:val="en-US" w:eastAsia="zh-CN"/>
              </w:rPr>
            </w:pPr>
            <w:r>
              <w:rPr>
                <w:rFonts w:hint="eastAsia"/>
                <w:b/>
                <w:spacing w:val="-4"/>
                <w:lang w:val="en-US" w:eastAsia="zh-CN"/>
              </w:rPr>
              <w:t>ProbeqRT-PCR反应（20μL体系，在样品制备室进行）</w:t>
            </w:r>
          </w:p>
          <w:p>
            <w:pPr>
              <w:numPr>
                <w:ilvl w:val="0"/>
                <w:numId w:val="2"/>
              </w:numPr>
              <w:spacing w:line="468" w:lineRule="exact"/>
              <w:ind w:left="425" w:leftChars="0" w:hanging="425" w:firstLineChars="0"/>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如果做定量分析并且只做1次重复，则标记N+</w:t>
            </w:r>
            <w:r>
              <w:rPr>
                <w:rFonts w:hint="eastAsia" w:ascii="华文中宋" w:hAnsi="华文中宋" w:eastAsia="华文中宋" w:cs="华文中宋"/>
                <w:color w:val="000000"/>
                <w:spacing w:val="2"/>
                <w:szCs w:val="21"/>
                <w:lang w:val="en-US" w:eastAsia="zh-CN"/>
              </w:rPr>
              <w:t>9</w:t>
            </w:r>
            <w:r>
              <w:rPr>
                <w:rFonts w:hint="eastAsia" w:ascii="华文中宋" w:hAnsi="华文中宋" w:eastAsia="华文中宋" w:cs="华文中宋"/>
                <w:color w:val="000000"/>
                <w:spacing w:val="2"/>
                <w:szCs w:val="21"/>
              </w:rPr>
              <w:t>个PCR管，其中N+2个用于上步得到的N+2个样品，1个用于PCR阴性对照</w:t>
            </w:r>
            <w:r>
              <w:rPr>
                <w:rFonts w:hint="eastAsia" w:ascii="华文中宋" w:hAnsi="华文中宋" w:eastAsia="华文中宋" w:cs="华文中宋"/>
                <w:color w:val="000000"/>
                <w:spacing w:val="2"/>
                <w:szCs w:val="21"/>
                <w:lang w:eastAsia="zh-CN"/>
              </w:rPr>
              <w:t>（用水做模板）</w:t>
            </w:r>
            <w:r>
              <w:rPr>
                <w:rFonts w:hint="eastAsia" w:ascii="华文中宋" w:hAnsi="华文中宋" w:eastAsia="华文中宋" w:cs="华文中宋"/>
                <w:color w:val="000000"/>
                <w:spacing w:val="2"/>
                <w:szCs w:val="21"/>
              </w:rPr>
              <w:t>，</w:t>
            </w:r>
            <w:r>
              <w:rPr>
                <w:rFonts w:hint="eastAsia" w:ascii="华文中宋" w:hAnsi="华文中宋" w:eastAsia="华文中宋" w:cs="华文中宋"/>
                <w:color w:val="000000"/>
                <w:spacing w:val="2"/>
                <w:szCs w:val="21"/>
                <w:lang w:val="en-US" w:eastAsia="zh-CN"/>
              </w:rPr>
              <w:t>6</w:t>
            </w:r>
            <w:r>
              <w:rPr>
                <w:rFonts w:hint="eastAsia" w:ascii="华文中宋" w:hAnsi="华文中宋" w:eastAsia="华文中宋" w:cs="华文中宋"/>
                <w:color w:val="000000"/>
                <w:spacing w:val="2"/>
                <w:szCs w:val="21"/>
              </w:rPr>
              <w:t>个用于标准曲线。如果做定性分析，并且只做1次重复，则标记N+4个PCR管，其中N+2个用于上步得到的N+2个样品，1个用于PCR阴性对照（用水做模板），1个用于PCR阳性对照（用</w:t>
            </w:r>
            <w:r>
              <w:rPr>
                <w:rFonts w:hint="eastAsia" w:ascii="华文中宋" w:hAnsi="华文中宋" w:eastAsia="华文中宋" w:cs="华文中宋"/>
                <w:color w:val="000000"/>
                <w:spacing w:val="2"/>
                <w:szCs w:val="21"/>
                <w:lang w:eastAsia="zh-CN"/>
              </w:rPr>
              <w:t>第</w:t>
            </w:r>
            <w:r>
              <w:rPr>
                <w:rFonts w:hint="eastAsia" w:ascii="华文中宋" w:hAnsi="华文中宋" w:eastAsia="华文中宋" w:cs="华文中宋"/>
                <w:color w:val="000000"/>
                <w:spacing w:val="2"/>
                <w:szCs w:val="21"/>
                <w:lang w:val="en-US" w:eastAsia="zh-CN"/>
              </w:rPr>
              <w:t>4号管中的阳性对照稀释液做模板</w:t>
            </w:r>
            <w:r>
              <w:rPr>
                <w:rFonts w:hint="eastAsia" w:ascii="华文中宋" w:hAnsi="华文中宋" w:eastAsia="华文中宋" w:cs="华文中宋"/>
                <w:color w:val="000000"/>
                <w:spacing w:val="2"/>
                <w:szCs w:val="21"/>
              </w:rPr>
              <w:t>）。下面只</w:t>
            </w:r>
            <w:r>
              <w:rPr>
                <w:rFonts w:hint="eastAsia" w:ascii="华文中宋" w:hAnsi="华文中宋" w:eastAsia="华文中宋" w:cs="华文中宋"/>
                <w:color w:val="000000"/>
                <w:spacing w:val="2"/>
                <w:szCs w:val="21"/>
                <w:lang w:eastAsia="zh-CN"/>
              </w:rPr>
              <w:t>以定量分析为描述操作</w:t>
            </w:r>
            <w:r>
              <w:rPr>
                <w:rFonts w:hint="eastAsia" w:ascii="华文中宋" w:hAnsi="华文中宋" w:eastAsia="华文中宋" w:cs="华文中宋"/>
                <w:color w:val="000000"/>
                <w:spacing w:val="2"/>
                <w:szCs w:val="21"/>
              </w:rPr>
              <w:t>步骤，</w:t>
            </w:r>
          </w:p>
          <w:p>
            <w:pPr>
              <w:numPr>
                <w:ilvl w:val="0"/>
                <w:numId w:val="2"/>
              </w:numPr>
              <w:spacing w:line="468" w:lineRule="exact"/>
              <w:ind w:left="425" w:leftChars="0" w:hanging="425" w:firstLineChars="0"/>
              <w:rPr>
                <w:rFonts w:hint="eastAsia"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在标记管中按下表加入各成分（本表只列出一次重复。样品管和阴性对照设置完毕后才设置阳性对照，并且阳性对照样品要等所有管子盖上盖子储存好后最后加）:</w:t>
            </w:r>
          </w:p>
          <w:tbl>
            <w:tblPr>
              <w:tblStyle w:val="2"/>
              <w:tblpPr w:leftFromText="180" w:rightFromText="180" w:vertAnchor="text" w:horzAnchor="page" w:tblpX="167" w:tblpY="245"/>
              <w:tblOverlap w:val="never"/>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1450"/>
              <w:gridCol w:w="1326"/>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363" w:type="dxa"/>
                  <w:vAlign w:val="center"/>
                </w:tcPr>
                <w:p>
                  <w:pPr>
                    <w:pStyle w:val="6"/>
                    <w:spacing w:before="138" w:line="240" w:lineRule="auto"/>
                    <w:ind w:left="133" w:right="123"/>
                    <w:rPr>
                      <w:b/>
                      <w:szCs w:val="21"/>
                    </w:rPr>
                  </w:pPr>
                  <w:r>
                    <w:rPr>
                      <w:b/>
                    </w:rPr>
                    <w:t>成分</w:t>
                  </w:r>
                </w:p>
              </w:tc>
              <w:tc>
                <w:tcPr>
                  <w:tcW w:w="1450" w:type="dxa"/>
                  <w:vAlign w:val="center"/>
                </w:tcPr>
                <w:p>
                  <w:pPr>
                    <w:pStyle w:val="6"/>
                    <w:spacing w:line="240" w:lineRule="auto"/>
                    <w:ind w:left="236"/>
                    <w:rPr>
                      <w:b/>
                    </w:rPr>
                  </w:pPr>
                  <w:r>
                    <w:rPr>
                      <w:b/>
                    </w:rPr>
                    <w:t>样品管</w:t>
                  </w:r>
                </w:p>
                <w:p>
                  <w:pPr>
                    <w:pStyle w:val="6"/>
                    <w:spacing w:line="240" w:lineRule="auto"/>
                    <w:ind w:left="215"/>
                    <w:rPr>
                      <w:b/>
                      <w:szCs w:val="21"/>
                    </w:rPr>
                  </w:pPr>
                  <w:r>
                    <w:rPr>
                      <w:b/>
                    </w:rPr>
                    <w:t>N+2</w:t>
                  </w:r>
                  <w:r>
                    <w:rPr>
                      <w:b/>
                      <w:spacing w:val="-8"/>
                    </w:rPr>
                    <w:t>个</w:t>
                  </w:r>
                </w:p>
              </w:tc>
              <w:tc>
                <w:tcPr>
                  <w:tcW w:w="1326" w:type="dxa"/>
                  <w:vAlign w:val="center"/>
                </w:tcPr>
                <w:p>
                  <w:pPr>
                    <w:pStyle w:val="6"/>
                    <w:spacing w:line="240" w:lineRule="auto"/>
                    <w:ind w:left="142"/>
                    <w:rPr>
                      <w:b/>
                      <w:szCs w:val="21"/>
                    </w:rPr>
                  </w:pPr>
                  <w:r>
                    <w:rPr>
                      <w:b/>
                    </w:rPr>
                    <w:t>PCR阴性对照管</w:t>
                  </w:r>
                </w:p>
              </w:tc>
              <w:tc>
                <w:tcPr>
                  <w:tcW w:w="1902" w:type="dxa"/>
                  <w:vAlign w:val="center"/>
                </w:tcPr>
                <w:p>
                  <w:pPr>
                    <w:pStyle w:val="6"/>
                    <w:spacing w:line="240" w:lineRule="auto"/>
                    <w:ind w:left="54" w:right="48"/>
                    <w:rPr>
                      <w:b/>
                    </w:rPr>
                  </w:pPr>
                  <w:r>
                    <w:rPr>
                      <w:b/>
                    </w:rPr>
                    <w:t>PCR阳性</w:t>
                  </w:r>
                </w:p>
                <w:p>
                  <w:pPr>
                    <w:pStyle w:val="6"/>
                    <w:spacing w:line="240" w:lineRule="auto"/>
                    <w:ind w:left="68" w:right="48"/>
                    <w:rPr>
                      <w:b/>
                      <w:szCs w:val="21"/>
                    </w:rPr>
                  </w:pPr>
                  <w:r>
                    <w:rPr>
                      <w:b/>
                    </w:rPr>
                    <w:t>对照管（</w:t>
                  </w:r>
                  <w:r>
                    <w:rPr>
                      <w:rFonts w:hint="eastAsia"/>
                      <w:b/>
                      <w:lang w:val="en-US"/>
                    </w:rPr>
                    <w:t>2</w:t>
                  </w:r>
                  <w:r>
                    <w:rPr>
                      <w:b/>
                    </w:rPr>
                    <w:t>-</w:t>
                  </w:r>
                  <w:r>
                    <w:rPr>
                      <w:rFonts w:hint="eastAsia"/>
                      <w:b/>
                      <w:lang w:val="en-US"/>
                    </w:rPr>
                    <w:t>6</w:t>
                  </w:r>
                  <w:r>
                    <w:rPr>
                      <w:b/>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63" w:type="dxa"/>
                  <w:vAlign w:val="center"/>
                </w:tcPr>
                <w:p>
                  <w:pPr>
                    <w:pStyle w:val="6"/>
                    <w:spacing w:before="66" w:line="240" w:lineRule="auto"/>
                    <w:ind w:left="137" w:leftChars="0" w:right="135" w:rightChars="0"/>
                    <w:jc w:val="center"/>
                    <w:rPr>
                      <w:rFonts w:hint="eastAsia"/>
                      <w:sz w:val="21"/>
                    </w:rPr>
                  </w:pPr>
                  <w:r>
                    <w:rPr>
                      <w:rFonts w:hint="eastAsia"/>
                      <w:sz w:val="21"/>
                    </w:rPr>
                    <w:t>探针法qRT-PCR缓冲液</w:t>
                  </w:r>
                </w:p>
              </w:tc>
              <w:tc>
                <w:tcPr>
                  <w:tcW w:w="1450" w:type="dxa"/>
                  <w:vAlign w:val="center"/>
                </w:tcPr>
                <w:p>
                  <w:pPr>
                    <w:pStyle w:val="6"/>
                    <w:spacing w:before="66" w:line="240" w:lineRule="auto"/>
                    <w:ind w:left="137" w:leftChars="0" w:right="135" w:rightChars="0"/>
                    <w:jc w:val="center"/>
                    <w:rPr>
                      <w:rFonts w:hint="eastAsia"/>
                      <w:sz w:val="21"/>
                    </w:rPr>
                  </w:pPr>
                  <w:r>
                    <w:rPr>
                      <w:rFonts w:hint="eastAsia"/>
                      <w:sz w:val="21"/>
                    </w:rPr>
                    <w:t>10μL</w:t>
                  </w:r>
                </w:p>
              </w:tc>
              <w:tc>
                <w:tcPr>
                  <w:tcW w:w="1326" w:type="dxa"/>
                  <w:vAlign w:val="center"/>
                </w:tcPr>
                <w:p>
                  <w:pPr>
                    <w:pStyle w:val="6"/>
                    <w:spacing w:before="66" w:line="240" w:lineRule="auto"/>
                    <w:ind w:left="137" w:leftChars="0" w:right="135" w:rightChars="0"/>
                    <w:jc w:val="center"/>
                    <w:rPr>
                      <w:rFonts w:hint="eastAsia"/>
                      <w:sz w:val="21"/>
                    </w:rPr>
                  </w:pPr>
                  <w:r>
                    <w:rPr>
                      <w:rFonts w:hint="eastAsia"/>
                      <w:sz w:val="21"/>
                    </w:rPr>
                    <w:t>10μL</w:t>
                  </w:r>
                </w:p>
              </w:tc>
              <w:tc>
                <w:tcPr>
                  <w:tcW w:w="1902" w:type="dxa"/>
                  <w:vAlign w:val="center"/>
                </w:tcPr>
                <w:p>
                  <w:pPr>
                    <w:pStyle w:val="6"/>
                    <w:spacing w:before="66" w:line="240" w:lineRule="auto"/>
                    <w:ind w:left="137" w:leftChars="0" w:right="135" w:rightChars="0"/>
                    <w:jc w:val="center"/>
                    <w:rPr>
                      <w:rFonts w:hint="eastAsia"/>
                      <w:sz w:val="21"/>
                    </w:rPr>
                  </w:pPr>
                  <w:r>
                    <w:rPr>
                      <w:rFonts w:hint="eastAsia"/>
                      <w:sz w:val="21"/>
                    </w:rPr>
                    <w:t>各10μL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63" w:type="dxa"/>
                  <w:vAlign w:val="center"/>
                </w:tcPr>
                <w:p>
                  <w:pPr>
                    <w:pStyle w:val="6"/>
                    <w:spacing w:before="66" w:line="240" w:lineRule="auto"/>
                    <w:ind w:left="137" w:leftChars="0" w:right="135" w:rightChars="0"/>
                    <w:jc w:val="center"/>
                    <w:rPr>
                      <w:rFonts w:hint="default" w:eastAsia="华文中宋"/>
                      <w:sz w:val="21"/>
                      <w:lang w:val="en-US" w:eastAsia="zh-CN"/>
                    </w:rPr>
                  </w:pPr>
                  <w:r>
                    <w:rPr>
                      <w:rFonts w:hint="eastAsia"/>
                      <w:sz w:val="21"/>
                    </w:rPr>
                    <w:t>探针法qRT-PCR酶混合液</w:t>
                  </w:r>
                  <w:r>
                    <w:rPr>
                      <w:rFonts w:hint="eastAsia"/>
                      <w:sz w:val="21"/>
                      <w:lang w:val="en-US" w:eastAsia="zh-CN"/>
                    </w:rPr>
                    <w:t>v2</w:t>
                  </w:r>
                </w:p>
              </w:tc>
              <w:tc>
                <w:tcPr>
                  <w:tcW w:w="1450" w:type="dxa"/>
                  <w:vAlign w:val="center"/>
                </w:tcPr>
                <w:p>
                  <w:pPr>
                    <w:pStyle w:val="6"/>
                    <w:spacing w:before="66" w:line="240" w:lineRule="auto"/>
                    <w:ind w:left="137" w:leftChars="0" w:right="135" w:rightChars="0"/>
                    <w:jc w:val="center"/>
                    <w:rPr>
                      <w:rFonts w:hint="eastAsia"/>
                      <w:sz w:val="21"/>
                    </w:rPr>
                  </w:pPr>
                  <w:r>
                    <w:rPr>
                      <w:rFonts w:hint="eastAsia"/>
                      <w:sz w:val="21"/>
                      <w:lang w:val="en-US" w:eastAsia="zh-CN"/>
                    </w:rPr>
                    <w:t>各1</w:t>
                  </w:r>
                  <w:r>
                    <w:rPr>
                      <w:rFonts w:hint="eastAsia"/>
                      <w:sz w:val="21"/>
                    </w:rPr>
                    <w:t>μL</w:t>
                  </w:r>
                </w:p>
              </w:tc>
              <w:tc>
                <w:tcPr>
                  <w:tcW w:w="1326" w:type="dxa"/>
                  <w:vAlign w:val="center"/>
                </w:tcPr>
                <w:p>
                  <w:pPr>
                    <w:pStyle w:val="6"/>
                    <w:spacing w:before="66" w:line="240" w:lineRule="auto"/>
                    <w:ind w:left="137" w:leftChars="0" w:right="135" w:rightChars="0"/>
                    <w:jc w:val="center"/>
                    <w:rPr>
                      <w:rFonts w:hint="eastAsia"/>
                      <w:sz w:val="21"/>
                    </w:rPr>
                  </w:pPr>
                  <w:r>
                    <w:rPr>
                      <w:rFonts w:hint="eastAsia"/>
                      <w:sz w:val="21"/>
                      <w:lang w:val="en-US" w:eastAsia="zh-CN"/>
                    </w:rPr>
                    <w:t>2</w:t>
                  </w:r>
                  <w:r>
                    <w:rPr>
                      <w:rFonts w:hint="eastAsia"/>
                      <w:sz w:val="21"/>
                    </w:rPr>
                    <w:t>μL</w:t>
                  </w:r>
                </w:p>
              </w:tc>
              <w:tc>
                <w:tcPr>
                  <w:tcW w:w="1902" w:type="dxa"/>
                  <w:vAlign w:val="center"/>
                </w:tcPr>
                <w:p>
                  <w:pPr>
                    <w:pStyle w:val="6"/>
                    <w:spacing w:before="66" w:line="240" w:lineRule="auto"/>
                    <w:ind w:left="137" w:leftChars="0" w:right="135" w:rightChars="0"/>
                    <w:jc w:val="center"/>
                    <w:rPr>
                      <w:rFonts w:hint="eastAsia"/>
                      <w:sz w:val="21"/>
                    </w:rPr>
                  </w:pPr>
                  <w:r>
                    <w:rPr>
                      <w:rFonts w:hint="eastAsia"/>
                      <w:sz w:val="21"/>
                    </w:rPr>
                    <w:t>各</w:t>
                  </w:r>
                  <w:r>
                    <w:rPr>
                      <w:rFonts w:hint="eastAsia"/>
                      <w:sz w:val="21"/>
                      <w:lang w:val="en-US" w:eastAsia="zh-CN"/>
                    </w:rPr>
                    <w:t>1</w:t>
                  </w:r>
                  <w:r>
                    <w:rPr>
                      <w:rFonts w:hint="eastAsia"/>
                      <w:sz w:val="21"/>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363" w:type="dxa"/>
                  <w:vAlign w:val="center"/>
                </w:tcPr>
                <w:p>
                  <w:pPr>
                    <w:pStyle w:val="6"/>
                    <w:spacing w:before="66" w:line="240" w:lineRule="auto"/>
                    <w:ind w:left="137" w:leftChars="0" w:right="135" w:rightChars="0"/>
                    <w:jc w:val="center"/>
                    <w:rPr>
                      <w:rFonts w:hint="eastAsia"/>
                      <w:sz w:val="21"/>
                    </w:rPr>
                  </w:pPr>
                  <w:r>
                    <w:rPr>
                      <w:rFonts w:hint="eastAsia"/>
                      <w:sz w:val="21"/>
                    </w:rPr>
                    <w:t>小鼠肝炎病毒探针法qRT-PCR引物</w:t>
                  </w:r>
                  <w:r>
                    <w:rPr>
                      <w:rFonts w:hint="eastAsia"/>
                      <w:sz w:val="21"/>
                      <w:lang w:val="en-US" w:eastAsia="zh-CN"/>
                    </w:rPr>
                    <w:t>-探针</w:t>
                  </w:r>
                  <w:r>
                    <w:rPr>
                      <w:rFonts w:hint="eastAsia"/>
                      <w:sz w:val="21"/>
                    </w:rPr>
                    <w:t>混合液</w:t>
                  </w:r>
                </w:p>
              </w:tc>
              <w:tc>
                <w:tcPr>
                  <w:tcW w:w="1450" w:type="dxa"/>
                  <w:vAlign w:val="center"/>
                </w:tcPr>
                <w:p>
                  <w:pPr>
                    <w:pStyle w:val="6"/>
                    <w:spacing w:before="66" w:line="240" w:lineRule="auto"/>
                    <w:ind w:left="137" w:leftChars="0" w:right="135" w:rightChars="0"/>
                    <w:jc w:val="center"/>
                    <w:rPr>
                      <w:rFonts w:hint="eastAsia"/>
                      <w:sz w:val="21"/>
                    </w:rPr>
                  </w:pPr>
                  <w:r>
                    <w:rPr>
                      <w:rFonts w:hint="eastAsia"/>
                      <w:sz w:val="21"/>
                      <w:lang w:val="en-US" w:eastAsia="zh-CN"/>
                    </w:rPr>
                    <w:t>3</w:t>
                  </w:r>
                  <w:r>
                    <w:rPr>
                      <w:rFonts w:hint="eastAsia"/>
                      <w:sz w:val="21"/>
                    </w:rPr>
                    <w:t>μL</w:t>
                  </w:r>
                </w:p>
              </w:tc>
              <w:tc>
                <w:tcPr>
                  <w:tcW w:w="1326" w:type="dxa"/>
                  <w:vAlign w:val="center"/>
                </w:tcPr>
                <w:p>
                  <w:pPr>
                    <w:pStyle w:val="6"/>
                    <w:spacing w:before="66" w:line="240" w:lineRule="auto"/>
                    <w:ind w:left="137" w:leftChars="0" w:right="135" w:rightChars="0"/>
                    <w:jc w:val="center"/>
                    <w:rPr>
                      <w:rFonts w:hint="eastAsia"/>
                      <w:sz w:val="21"/>
                    </w:rPr>
                  </w:pPr>
                  <w:r>
                    <w:rPr>
                      <w:rFonts w:hint="eastAsia"/>
                      <w:sz w:val="21"/>
                      <w:lang w:val="en-US" w:eastAsia="zh-CN"/>
                    </w:rPr>
                    <w:t>3</w:t>
                  </w:r>
                  <w:r>
                    <w:rPr>
                      <w:rFonts w:hint="eastAsia"/>
                      <w:sz w:val="21"/>
                    </w:rPr>
                    <w:t>μL</w:t>
                  </w:r>
                </w:p>
              </w:tc>
              <w:tc>
                <w:tcPr>
                  <w:tcW w:w="1902" w:type="dxa"/>
                  <w:vAlign w:val="center"/>
                </w:tcPr>
                <w:p>
                  <w:pPr>
                    <w:pStyle w:val="6"/>
                    <w:spacing w:before="66" w:line="240" w:lineRule="auto"/>
                    <w:ind w:left="137" w:leftChars="0" w:right="135" w:rightChars="0"/>
                    <w:jc w:val="center"/>
                    <w:rPr>
                      <w:rFonts w:hint="eastAsia"/>
                      <w:sz w:val="21"/>
                    </w:rPr>
                  </w:pPr>
                  <w:r>
                    <w:rPr>
                      <w:rFonts w:hint="eastAsia"/>
                      <w:sz w:val="21"/>
                    </w:rPr>
                    <w:t>各</w:t>
                  </w:r>
                  <w:r>
                    <w:rPr>
                      <w:rFonts w:hint="eastAsia"/>
                      <w:sz w:val="21"/>
                      <w:lang w:val="en-US" w:eastAsia="zh-CN"/>
                    </w:rPr>
                    <w:t>3</w:t>
                  </w:r>
                  <w:r>
                    <w:rPr>
                      <w:rFonts w:hint="eastAsia"/>
                      <w:sz w:val="21"/>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63" w:type="dxa"/>
                  <w:vAlign w:val="center"/>
                </w:tcPr>
                <w:p>
                  <w:pPr>
                    <w:pStyle w:val="6"/>
                    <w:spacing w:before="66" w:line="240" w:lineRule="auto"/>
                    <w:ind w:left="137" w:leftChars="0" w:right="135" w:rightChars="0"/>
                    <w:jc w:val="center"/>
                    <w:rPr>
                      <w:rFonts w:hint="eastAsia"/>
                      <w:sz w:val="21"/>
                    </w:rPr>
                  </w:pPr>
                  <w:r>
                    <w:rPr>
                      <w:rFonts w:hint="eastAsia"/>
                      <w:sz w:val="21"/>
                    </w:rPr>
                    <w:t>待测样品RNA模板</w:t>
                  </w:r>
                </w:p>
              </w:tc>
              <w:tc>
                <w:tcPr>
                  <w:tcW w:w="1450" w:type="dxa"/>
                  <w:vAlign w:val="center"/>
                </w:tcPr>
                <w:p>
                  <w:pPr>
                    <w:pStyle w:val="6"/>
                    <w:spacing w:before="66" w:line="240" w:lineRule="auto"/>
                    <w:ind w:left="137" w:leftChars="0" w:right="135" w:rightChars="0"/>
                    <w:jc w:val="center"/>
                    <w:rPr>
                      <w:rFonts w:hint="eastAsia"/>
                      <w:sz w:val="21"/>
                    </w:rPr>
                  </w:pPr>
                  <w:r>
                    <w:rPr>
                      <w:rFonts w:hint="eastAsia"/>
                      <w:sz w:val="21"/>
                      <w:lang w:val="en-US" w:eastAsia="zh-CN"/>
                    </w:rPr>
                    <w:t>各6</w:t>
                  </w:r>
                  <w:r>
                    <w:rPr>
                      <w:rFonts w:hint="eastAsia"/>
                      <w:sz w:val="21"/>
                    </w:rPr>
                    <w:t>μL</w:t>
                  </w:r>
                </w:p>
              </w:tc>
              <w:tc>
                <w:tcPr>
                  <w:tcW w:w="1326" w:type="dxa"/>
                  <w:vAlign w:val="center"/>
                </w:tcPr>
                <w:p>
                  <w:pPr>
                    <w:pStyle w:val="6"/>
                    <w:spacing w:before="66" w:line="240" w:lineRule="auto"/>
                    <w:ind w:left="137" w:leftChars="0" w:right="135" w:rightChars="0"/>
                    <w:jc w:val="center"/>
                    <w:rPr>
                      <w:rFonts w:hint="eastAsia"/>
                      <w:sz w:val="21"/>
                    </w:rPr>
                  </w:pPr>
                  <w:r>
                    <w:rPr>
                      <w:rFonts w:hint="eastAsia"/>
                      <w:sz w:val="21"/>
                    </w:rPr>
                    <w:t>-</w:t>
                  </w:r>
                </w:p>
              </w:tc>
              <w:tc>
                <w:tcPr>
                  <w:tcW w:w="1902" w:type="dxa"/>
                  <w:vAlign w:val="center"/>
                </w:tcPr>
                <w:p>
                  <w:pPr>
                    <w:pStyle w:val="6"/>
                    <w:spacing w:before="66" w:line="240" w:lineRule="auto"/>
                    <w:ind w:left="137" w:leftChars="0" w:right="135" w:rightChars="0"/>
                    <w:jc w:val="center"/>
                    <w:rPr>
                      <w:rFonts w:hint="eastAsia"/>
                      <w:sz w:val="21"/>
                    </w:rPr>
                  </w:pP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63" w:type="dxa"/>
                  <w:vAlign w:val="center"/>
                </w:tcPr>
                <w:p>
                  <w:pPr>
                    <w:pStyle w:val="6"/>
                    <w:spacing w:before="66" w:line="240" w:lineRule="auto"/>
                    <w:ind w:left="137" w:leftChars="0" w:right="135" w:rightChars="0"/>
                    <w:jc w:val="center"/>
                    <w:rPr>
                      <w:rFonts w:hint="eastAsia"/>
                      <w:sz w:val="21"/>
                    </w:rPr>
                  </w:pPr>
                  <w:r>
                    <w:rPr>
                      <w:rFonts w:hint="eastAsia"/>
                      <w:sz w:val="21"/>
                    </w:rPr>
                    <w:t>超纯水</w:t>
                  </w:r>
                </w:p>
              </w:tc>
              <w:tc>
                <w:tcPr>
                  <w:tcW w:w="1450" w:type="dxa"/>
                  <w:vAlign w:val="center"/>
                </w:tcPr>
                <w:p>
                  <w:pPr>
                    <w:pStyle w:val="6"/>
                    <w:spacing w:before="66" w:line="240" w:lineRule="auto"/>
                    <w:ind w:left="137" w:leftChars="0" w:right="135" w:rightChars="0"/>
                    <w:jc w:val="center"/>
                    <w:rPr>
                      <w:rFonts w:hint="eastAsia"/>
                      <w:sz w:val="21"/>
                    </w:rPr>
                  </w:pPr>
                  <w:r>
                    <w:rPr>
                      <w:rFonts w:hint="eastAsia"/>
                      <w:sz w:val="21"/>
                    </w:rPr>
                    <w:t>-</w:t>
                  </w:r>
                </w:p>
              </w:tc>
              <w:tc>
                <w:tcPr>
                  <w:tcW w:w="1326" w:type="dxa"/>
                  <w:vAlign w:val="center"/>
                </w:tcPr>
                <w:p>
                  <w:pPr>
                    <w:pStyle w:val="6"/>
                    <w:spacing w:before="66" w:line="240" w:lineRule="auto"/>
                    <w:ind w:left="137" w:leftChars="0" w:right="135" w:rightChars="0"/>
                    <w:jc w:val="center"/>
                    <w:rPr>
                      <w:rFonts w:hint="eastAsia"/>
                      <w:sz w:val="21"/>
                    </w:rPr>
                  </w:pPr>
                  <w:r>
                    <w:rPr>
                      <w:rFonts w:hint="eastAsia"/>
                      <w:sz w:val="21"/>
                      <w:lang w:val="en-US" w:eastAsia="zh-CN"/>
                    </w:rPr>
                    <w:t>6</w:t>
                  </w:r>
                  <w:r>
                    <w:rPr>
                      <w:rFonts w:hint="eastAsia"/>
                      <w:sz w:val="21"/>
                    </w:rPr>
                    <w:t>μL</w:t>
                  </w:r>
                </w:p>
              </w:tc>
              <w:tc>
                <w:tcPr>
                  <w:tcW w:w="1902" w:type="dxa"/>
                  <w:vAlign w:val="center"/>
                </w:tcPr>
                <w:p>
                  <w:pPr>
                    <w:pStyle w:val="6"/>
                    <w:spacing w:before="66" w:line="240" w:lineRule="auto"/>
                    <w:ind w:left="137" w:leftChars="0" w:right="135" w:rightChars="0"/>
                    <w:jc w:val="center"/>
                    <w:rPr>
                      <w:rFonts w:hint="eastAsia"/>
                      <w:sz w:val="21"/>
                    </w:rPr>
                  </w:pP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363" w:type="dxa"/>
                  <w:vAlign w:val="center"/>
                </w:tcPr>
                <w:p>
                  <w:pPr>
                    <w:pStyle w:val="6"/>
                    <w:spacing w:before="66" w:line="240" w:lineRule="auto"/>
                    <w:ind w:left="137" w:leftChars="0" w:right="135" w:rightChars="0"/>
                    <w:jc w:val="center"/>
                    <w:rPr>
                      <w:rFonts w:hint="eastAsia"/>
                      <w:sz w:val="21"/>
                      <w:lang w:val="en-US"/>
                    </w:rPr>
                  </w:pPr>
                  <w:r>
                    <w:rPr>
                      <w:rFonts w:hint="eastAsia"/>
                      <w:sz w:val="21"/>
                    </w:rPr>
                    <w:t>第7步所得</w:t>
                  </w:r>
                  <w:r>
                    <w:rPr>
                      <w:rFonts w:hint="eastAsia"/>
                      <w:sz w:val="21"/>
                      <w:lang w:eastAsia="zh-CN"/>
                    </w:rPr>
                    <w:t>标准曲线样品稀释液</w:t>
                  </w:r>
                  <w:r>
                    <w:rPr>
                      <w:rFonts w:hint="eastAsia"/>
                      <w:sz w:val="21"/>
                    </w:rPr>
                    <w:t>（</w:t>
                  </w:r>
                  <w:r>
                    <w:rPr>
                      <w:rFonts w:hint="eastAsia"/>
                      <w:sz w:val="21"/>
                      <w:lang w:val="en-US"/>
                    </w:rPr>
                    <w:t>2</w:t>
                  </w:r>
                  <w:r>
                    <w:rPr>
                      <w:rFonts w:hint="eastAsia"/>
                      <w:sz w:val="21"/>
                    </w:rPr>
                    <w:t>-</w:t>
                  </w:r>
                  <w:r>
                    <w:rPr>
                      <w:rFonts w:hint="eastAsia"/>
                      <w:sz w:val="21"/>
                      <w:lang w:val="en-US"/>
                    </w:rPr>
                    <w:t>6</w:t>
                  </w:r>
                  <w:r>
                    <w:rPr>
                      <w:rFonts w:hint="eastAsia"/>
                      <w:sz w:val="21"/>
                    </w:rPr>
                    <w:t>号）</w:t>
                  </w:r>
                </w:p>
              </w:tc>
              <w:tc>
                <w:tcPr>
                  <w:tcW w:w="1450" w:type="dxa"/>
                  <w:vAlign w:val="center"/>
                </w:tcPr>
                <w:p>
                  <w:pPr>
                    <w:pStyle w:val="6"/>
                    <w:spacing w:before="66" w:line="240" w:lineRule="auto"/>
                    <w:ind w:left="137" w:leftChars="0" w:right="135" w:rightChars="0"/>
                    <w:jc w:val="center"/>
                    <w:rPr>
                      <w:rFonts w:hint="eastAsia"/>
                      <w:sz w:val="21"/>
                      <w:lang w:val="en-US"/>
                    </w:rPr>
                  </w:pPr>
                  <w:r>
                    <w:rPr>
                      <w:rFonts w:hint="eastAsia"/>
                      <w:sz w:val="21"/>
                    </w:rPr>
                    <w:t>-</w:t>
                  </w:r>
                </w:p>
              </w:tc>
              <w:tc>
                <w:tcPr>
                  <w:tcW w:w="1326" w:type="dxa"/>
                  <w:vAlign w:val="center"/>
                </w:tcPr>
                <w:p>
                  <w:pPr>
                    <w:pStyle w:val="6"/>
                    <w:spacing w:before="66" w:line="240" w:lineRule="auto"/>
                    <w:ind w:left="137" w:leftChars="0" w:right="135" w:rightChars="0"/>
                    <w:jc w:val="center"/>
                    <w:rPr>
                      <w:rFonts w:hint="eastAsia"/>
                      <w:sz w:val="21"/>
                    </w:rPr>
                  </w:pPr>
                  <w:r>
                    <w:rPr>
                      <w:rFonts w:hint="eastAsia"/>
                      <w:sz w:val="21"/>
                    </w:rPr>
                    <w:t>-</w:t>
                  </w:r>
                </w:p>
              </w:tc>
              <w:tc>
                <w:tcPr>
                  <w:tcW w:w="1902" w:type="dxa"/>
                  <w:vAlign w:val="center"/>
                </w:tcPr>
                <w:p>
                  <w:pPr>
                    <w:pStyle w:val="6"/>
                    <w:spacing w:before="66" w:line="240" w:lineRule="auto"/>
                    <w:ind w:left="137" w:leftChars="0" w:right="135" w:rightChars="0"/>
                    <w:jc w:val="center"/>
                    <w:rPr>
                      <w:rFonts w:hint="eastAsia"/>
                      <w:sz w:val="21"/>
                    </w:rPr>
                  </w:pPr>
                  <w:r>
                    <w:rPr>
                      <w:rFonts w:hint="eastAsia"/>
                      <w:sz w:val="21"/>
                    </w:rPr>
                    <w:t>各</w:t>
                  </w:r>
                  <w:r>
                    <w:rPr>
                      <w:rFonts w:hint="eastAsia"/>
                      <w:sz w:val="21"/>
                      <w:lang w:val="en-US" w:eastAsia="zh-CN"/>
                    </w:rPr>
                    <w:t>6</w:t>
                  </w:r>
                  <w:bookmarkStart w:id="0" w:name="_GoBack"/>
                  <w:bookmarkEnd w:id="0"/>
                  <w:r>
                    <w:rPr>
                      <w:rFonts w:hint="eastAsia"/>
                      <w:sz w:val="21"/>
                    </w:rPr>
                    <w:t>μL（</w:t>
                  </w:r>
                  <w:r>
                    <w:rPr>
                      <w:rFonts w:hint="eastAsia"/>
                      <w:sz w:val="21"/>
                      <w:lang w:val="en-US"/>
                    </w:rPr>
                    <w:t>2</w:t>
                  </w:r>
                  <w:r>
                    <w:rPr>
                      <w:rFonts w:hint="eastAsia"/>
                      <w:sz w:val="21"/>
                    </w:rPr>
                    <w:t>号样到</w:t>
                  </w:r>
                  <w:r>
                    <w:rPr>
                      <w:rFonts w:hint="eastAsia"/>
                      <w:sz w:val="21"/>
                      <w:lang w:val="en-US"/>
                    </w:rPr>
                    <w:t>2</w:t>
                  </w:r>
                  <w:r>
                    <w:rPr>
                      <w:rFonts w:hint="eastAsia"/>
                      <w:sz w:val="21"/>
                    </w:rPr>
                    <w:t>号管，</w:t>
                  </w:r>
                  <w:r>
                    <w:rPr>
                      <w:rFonts w:hint="eastAsia"/>
                      <w:sz w:val="21"/>
                      <w:lang w:val="en-US"/>
                    </w:rPr>
                    <w:t>3</w:t>
                  </w:r>
                  <w:r>
                    <w:rPr>
                      <w:rFonts w:hint="eastAsia"/>
                      <w:sz w:val="21"/>
                    </w:rPr>
                    <w:t>号样到</w:t>
                  </w:r>
                  <w:r>
                    <w:rPr>
                      <w:rFonts w:hint="eastAsia"/>
                      <w:sz w:val="21"/>
                      <w:lang w:val="en-US"/>
                    </w:rPr>
                    <w:t>3</w:t>
                  </w:r>
                  <w:r>
                    <w:rPr>
                      <w:rFonts w:hint="eastAsia"/>
                      <w:sz w:val="21"/>
                    </w:rPr>
                    <w:t>号管…）</w:t>
                  </w:r>
                </w:p>
              </w:tc>
            </w:tr>
          </w:tbl>
          <w:p>
            <w:pPr>
              <w:numPr>
                <w:ilvl w:val="0"/>
                <w:numId w:val="0"/>
              </w:numPr>
              <w:spacing w:line="468" w:lineRule="exact"/>
              <w:ind w:leftChars="0"/>
              <w:rPr>
                <w:rFonts w:hint="eastAsia"/>
                <w:color w:val="000000"/>
                <w:spacing w:val="2"/>
                <w:szCs w:val="21"/>
                <w:lang w:val="en-US" w:bidi="ar-SA"/>
              </w:rPr>
            </w:pPr>
            <w:r>
              <w:rPr>
                <w:rFonts w:hint="eastAsia" w:ascii="华文中宋" w:hAnsi="华文中宋" w:eastAsia="华文中宋" w:cs="华文中宋"/>
                <w:color w:val="000000"/>
                <w:spacing w:val="2"/>
                <w:szCs w:val="21"/>
                <w:lang w:val="en-US" w:eastAsia="zh-CN"/>
              </w:rPr>
              <w:t>11.盖上盖子后</w:t>
            </w:r>
            <w:r>
              <w:rPr>
                <w:rFonts w:hint="eastAsia" w:ascii="华文中宋" w:hAnsi="华文中宋" w:eastAsia="华文中宋" w:cs="华文中宋"/>
                <w:color w:val="000000"/>
                <w:spacing w:val="2"/>
                <w:szCs w:val="21"/>
                <w:lang w:val="en-US"/>
              </w:rPr>
              <w:t>上机，按下面参数进行qRT-PCR：</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1"/>
              <w:gridCol w:w="1545"/>
              <w:gridCol w:w="4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2061" w:type="dxa"/>
                  <w:vAlign w:val="center"/>
                </w:tcPr>
                <w:p>
                  <w:pPr>
                    <w:pStyle w:val="6"/>
                    <w:spacing w:before="68"/>
                    <w:ind w:left="223" w:right="103"/>
                    <w:rPr>
                      <w:b/>
                    </w:rPr>
                  </w:pPr>
                  <w:r>
                    <w:rPr>
                      <w:b/>
                    </w:rPr>
                    <w:t>过程</w:t>
                  </w:r>
                </w:p>
              </w:tc>
              <w:tc>
                <w:tcPr>
                  <w:tcW w:w="1545" w:type="dxa"/>
                  <w:vAlign w:val="center"/>
                </w:tcPr>
                <w:p>
                  <w:pPr>
                    <w:pStyle w:val="6"/>
                    <w:spacing w:before="68"/>
                    <w:ind w:left="444" w:right="428"/>
                    <w:rPr>
                      <w:b/>
                    </w:rPr>
                  </w:pPr>
                  <w:r>
                    <w:rPr>
                      <w:b/>
                    </w:rPr>
                    <w:t>温度</w:t>
                  </w:r>
                </w:p>
              </w:tc>
              <w:tc>
                <w:tcPr>
                  <w:tcW w:w="4313" w:type="dxa"/>
                  <w:vAlign w:val="center"/>
                </w:tcPr>
                <w:p>
                  <w:pPr>
                    <w:pStyle w:val="6"/>
                    <w:spacing w:before="68"/>
                    <w:ind w:left="110" w:right="95"/>
                    <w:rPr>
                      <w:b/>
                    </w:rPr>
                  </w:pPr>
                  <w:r>
                    <w:rPr>
                      <w:b/>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2061" w:type="dxa"/>
                  <w:vAlign w:val="center"/>
                </w:tcPr>
                <w:p>
                  <w:pPr>
                    <w:pStyle w:val="6"/>
                    <w:spacing w:before="70"/>
                    <w:ind w:left="223" w:right="103"/>
                    <w:rPr>
                      <w:rFonts w:hint="eastAsia" w:eastAsia="华文中宋"/>
                      <w:lang w:eastAsia="zh-CN"/>
                    </w:rPr>
                  </w:pPr>
                  <w:r>
                    <w:rPr>
                      <w:rFonts w:hint="eastAsia"/>
                      <w:lang w:eastAsia="zh-CN"/>
                    </w:rPr>
                    <w:t>逆转录</w:t>
                  </w:r>
                </w:p>
              </w:tc>
              <w:tc>
                <w:tcPr>
                  <w:tcW w:w="1545" w:type="dxa"/>
                  <w:vAlign w:val="center"/>
                </w:tcPr>
                <w:p>
                  <w:pPr>
                    <w:pStyle w:val="6"/>
                    <w:spacing w:before="70"/>
                    <w:ind w:left="446" w:right="428"/>
                    <w:rPr>
                      <w:rFonts w:hint="default" w:eastAsia="华文中宋"/>
                      <w:lang w:val="en-US" w:eastAsia="zh-CN"/>
                    </w:rPr>
                  </w:pPr>
                  <w:r>
                    <w:rPr>
                      <w:rFonts w:hint="eastAsia"/>
                      <w:lang w:val="en-US" w:eastAsia="zh-CN"/>
                    </w:rPr>
                    <w:t>50℃</w:t>
                  </w:r>
                </w:p>
              </w:tc>
              <w:tc>
                <w:tcPr>
                  <w:tcW w:w="4313" w:type="dxa"/>
                  <w:vAlign w:val="center"/>
                </w:tcPr>
                <w:p>
                  <w:pPr>
                    <w:pStyle w:val="6"/>
                    <w:spacing w:before="70"/>
                    <w:ind w:left="110" w:right="94"/>
                    <w:rPr>
                      <w:rFonts w:hint="default"/>
                      <w:lang w:val="en-US" w:eastAsia="zh-CN"/>
                    </w:rPr>
                  </w:pPr>
                  <w:r>
                    <w:rPr>
                      <w:rFonts w:hint="eastAsia"/>
                      <w:lang w:val="en-US" w:eastAsia="zh-CN"/>
                    </w:rPr>
                    <w:t>15min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2061" w:type="dxa"/>
                  <w:vAlign w:val="center"/>
                </w:tcPr>
                <w:p>
                  <w:pPr>
                    <w:pStyle w:val="6"/>
                    <w:spacing w:before="70"/>
                    <w:ind w:left="223" w:right="103"/>
                  </w:pPr>
                  <w:r>
                    <w:t>预变性</w:t>
                  </w:r>
                </w:p>
              </w:tc>
              <w:tc>
                <w:tcPr>
                  <w:tcW w:w="1545" w:type="dxa"/>
                  <w:vAlign w:val="center"/>
                </w:tcPr>
                <w:p>
                  <w:pPr>
                    <w:pStyle w:val="6"/>
                    <w:spacing w:before="70"/>
                    <w:ind w:left="446" w:right="428"/>
                  </w:pPr>
                  <w:r>
                    <w:t>9</w:t>
                  </w:r>
                  <w:r>
                    <w:rPr>
                      <w:rFonts w:hint="eastAsia"/>
                      <w:lang w:val="en-US" w:eastAsia="zh-CN"/>
                    </w:rPr>
                    <w:t>4</w:t>
                  </w:r>
                  <w:r>
                    <w:t>℃</w:t>
                  </w:r>
                </w:p>
              </w:tc>
              <w:tc>
                <w:tcPr>
                  <w:tcW w:w="4313" w:type="dxa"/>
                  <w:vAlign w:val="center"/>
                </w:tcPr>
                <w:p>
                  <w:pPr>
                    <w:pStyle w:val="6"/>
                    <w:spacing w:before="70"/>
                    <w:ind w:left="110" w:right="94"/>
                  </w:pPr>
                  <w:r>
                    <w:rPr>
                      <w:rFonts w:hint="eastAsia"/>
                      <w:lang w:val="en-US" w:eastAsia="zh-CN"/>
                    </w:rPr>
                    <w:t>10</w:t>
                  </w:r>
                  <w: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2061" w:type="dxa"/>
                  <w:vMerge w:val="restart"/>
                  <w:vAlign w:val="center"/>
                </w:tcPr>
                <w:p>
                  <w:pPr>
                    <w:pStyle w:val="6"/>
                    <w:spacing w:before="73"/>
                    <w:ind w:left="223" w:right="209"/>
                  </w:pPr>
                  <w:r>
                    <w:rPr>
                      <w:rFonts w:hint="eastAsia"/>
                      <w:lang w:val="en-US" w:eastAsia="zh-CN"/>
                    </w:rPr>
                    <w:t>qRT-</w:t>
                  </w:r>
                  <w:r>
                    <w:t>PCR反应</w:t>
                  </w:r>
                </w:p>
                <w:p>
                  <w:pPr>
                    <w:pStyle w:val="6"/>
                    <w:spacing w:before="134"/>
                    <w:ind w:left="223" w:right="211"/>
                  </w:pPr>
                  <w:r>
                    <w:t>（</w:t>
                  </w:r>
                  <w:r>
                    <w:rPr>
                      <w:rFonts w:hint="eastAsia"/>
                      <w:lang w:val="en-US"/>
                    </w:rPr>
                    <w:t>4</w:t>
                  </w:r>
                  <w:r>
                    <w:rPr>
                      <w:rFonts w:hint="eastAsia"/>
                      <w:lang w:val="en-US" w:eastAsia="zh-CN"/>
                    </w:rPr>
                    <w:t>5</w:t>
                  </w:r>
                  <w:r>
                    <w:t>个循环）</w:t>
                  </w:r>
                </w:p>
              </w:tc>
              <w:tc>
                <w:tcPr>
                  <w:tcW w:w="1545" w:type="dxa"/>
                  <w:vAlign w:val="center"/>
                </w:tcPr>
                <w:p>
                  <w:pPr>
                    <w:pStyle w:val="6"/>
                    <w:spacing w:before="68"/>
                    <w:ind w:left="445" w:right="428"/>
                  </w:pPr>
                  <w:r>
                    <w:t>9</w:t>
                  </w:r>
                  <w:r>
                    <w:rPr>
                      <w:rFonts w:hint="eastAsia"/>
                      <w:lang w:val="en-US" w:eastAsia="zh-CN"/>
                    </w:rPr>
                    <w:t>4</w:t>
                  </w:r>
                  <w:r>
                    <w:t>℃</w:t>
                  </w:r>
                </w:p>
              </w:tc>
              <w:tc>
                <w:tcPr>
                  <w:tcW w:w="4313" w:type="dxa"/>
                  <w:vAlign w:val="center"/>
                </w:tcPr>
                <w:p>
                  <w:pPr>
                    <w:pStyle w:val="6"/>
                    <w:spacing w:before="68"/>
                    <w:ind w:left="110" w:right="95"/>
                  </w:pPr>
                  <w:r>
                    <w:t>15sec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2061" w:type="dxa"/>
                  <w:vMerge w:val="continue"/>
                </w:tcPr>
                <w:p>
                  <w:pPr>
                    <w:rPr>
                      <w:sz w:val="2"/>
                      <w:szCs w:val="2"/>
                    </w:rPr>
                  </w:pPr>
                </w:p>
              </w:tc>
              <w:tc>
                <w:tcPr>
                  <w:tcW w:w="1545" w:type="dxa"/>
                  <w:vAlign w:val="center"/>
                </w:tcPr>
                <w:p>
                  <w:pPr>
                    <w:pStyle w:val="6"/>
                    <w:spacing w:before="68"/>
                    <w:ind w:left="446" w:right="428"/>
                  </w:pPr>
                  <w:r>
                    <w:rPr>
                      <w:rFonts w:hint="eastAsia"/>
                      <w:lang w:val="en-US" w:eastAsia="zh-CN"/>
                    </w:rPr>
                    <w:t>60</w:t>
                  </w:r>
                  <w:r>
                    <w:t>℃</w:t>
                  </w:r>
                </w:p>
              </w:tc>
              <w:tc>
                <w:tcPr>
                  <w:tcW w:w="4313" w:type="dxa"/>
                  <w:vAlign w:val="center"/>
                </w:tcPr>
                <w:p>
                  <w:pPr>
                    <w:pStyle w:val="6"/>
                    <w:spacing w:before="68"/>
                    <w:ind w:left="109" w:right="-29"/>
                  </w:pPr>
                  <w:r>
                    <w:rPr>
                      <w:rFonts w:hint="eastAsia"/>
                      <w:lang w:val="en-US" w:eastAsia="zh-CN"/>
                    </w:rPr>
                    <w:t>1min</w:t>
                  </w:r>
                  <w:r>
                    <w:t>（</w:t>
                  </w:r>
                  <w:r>
                    <w:rPr>
                      <w:spacing w:val="-5"/>
                    </w:rPr>
                    <w:t>采集</w:t>
                  </w:r>
                  <w:r>
                    <w:rPr>
                      <w:rFonts w:hint="eastAsia"/>
                      <w:lang w:val="en-US" w:eastAsia="zh-CN"/>
                    </w:rPr>
                    <w:t>FAM</w:t>
                  </w:r>
                  <w:r>
                    <w:rPr>
                      <w:spacing w:val="-5"/>
                    </w:rPr>
                    <w:t>通道的荧光信号</w:t>
                  </w:r>
                  <w:r>
                    <w:t>）</w:t>
                  </w:r>
                </w:p>
              </w:tc>
            </w:tr>
          </w:tbl>
          <w:p>
            <w:pPr>
              <w:pStyle w:val="6"/>
              <w:tabs>
                <w:tab w:val="left" w:pos="525"/>
                <w:tab w:val="left" w:pos="526"/>
              </w:tabs>
              <w:spacing w:before="3" w:line="336" w:lineRule="auto"/>
              <w:ind w:right="1687"/>
              <w:jc w:val="both"/>
              <w:rPr>
                <w:rFonts w:hint="eastAsia" w:ascii="Times New Roman" w:hAnsi="Times New Roman" w:eastAsia="宋体" w:cs="Times New Roman"/>
                <w:b/>
                <w:spacing w:val="-4"/>
                <w:kern w:val="2"/>
                <w:sz w:val="21"/>
                <w:szCs w:val="24"/>
                <w:lang w:val="en-US" w:eastAsia="zh-CN" w:bidi="ar-SA"/>
              </w:rPr>
            </w:pPr>
            <w:r>
              <w:rPr>
                <w:rFonts w:hint="eastAsia" w:ascii="Times New Roman" w:hAnsi="Times New Roman" w:eastAsia="宋体" w:cs="Times New Roman"/>
                <w:b/>
                <w:spacing w:val="-4"/>
                <w:kern w:val="2"/>
                <w:sz w:val="21"/>
                <w:szCs w:val="24"/>
                <w:lang w:val="en-US" w:eastAsia="zh-CN" w:bidi="ar-SA"/>
              </w:rPr>
              <w:t>四、数据处理</w:t>
            </w:r>
          </w:p>
          <w:p>
            <w:pPr>
              <w:numPr>
                <w:ilvl w:val="0"/>
                <w:numId w:val="0"/>
              </w:numPr>
              <w:spacing w:line="360" w:lineRule="auto"/>
              <w:ind w:left="420" w:leftChars="0" w:hanging="420" w:hangingChars="200"/>
              <w:rPr>
                <w:rFonts w:ascii="华文中宋" w:hAnsi="华文中宋" w:eastAsia="华文中宋"/>
                <w:szCs w:val="21"/>
              </w:rPr>
            </w:pPr>
            <w:r>
              <w:rPr>
                <w:rFonts w:hint="eastAsia" w:ascii="华文中宋" w:hAnsi="华文中宋" w:eastAsia="华文中宋"/>
                <w:szCs w:val="21"/>
                <w:lang w:val="en-US" w:eastAsia="zh-CN"/>
              </w:rPr>
              <w:t xml:space="preserve">12. </w:t>
            </w:r>
            <w:r>
              <w:rPr>
                <w:rFonts w:hint="eastAsia" w:ascii="华文中宋" w:hAnsi="华文中宋" w:eastAsia="华文中宋"/>
                <w:szCs w:val="21"/>
              </w:rPr>
              <w:t>如果把本试剂盒用于定量检测，则以阳性对照浓度的log值为横轴，以Ct值为纵轴，绘制标准曲线。再以待测样品的Ct值从标准</w:t>
            </w:r>
            <w:r>
              <w:rPr>
                <w:rFonts w:ascii="华文中宋" w:hAnsi="华文中宋" w:eastAsia="华文中宋"/>
                <w:szCs w:val="21"/>
              </w:rPr>
              <w:t>曲线</w:t>
            </w:r>
            <w:r>
              <w:rPr>
                <w:rFonts w:hint="eastAsia" w:ascii="华文中宋" w:hAnsi="华文中宋" w:eastAsia="华文中宋"/>
                <w:szCs w:val="21"/>
              </w:rPr>
              <w:t>上推算出样品RNA浓度的log值，</w:t>
            </w:r>
            <w:r>
              <w:rPr>
                <w:rFonts w:ascii="华文中宋" w:hAnsi="华文中宋" w:eastAsia="华文中宋"/>
                <w:szCs w:val="21"/>
              </w:rPr>
              <w:t>再</w:t>
            </w:r>
            <w:r>
              <w:rPr>
                <w:rFonts w:hint="eastAsia" w:ascii="华文中宋" w:hAnsi="华文中宋" w:eastAsia="华文中宋"/>
                <w:szCs w:val="21"/>
              </w:rPr>
              <w:t>推算</w:t>
            </w:r>
            <w:r>
              <w:rPr>
                <w:rFonts w:ascii="华文中宋" w:hAnsi="华文中宋" w:eastAsia="华文中宋"/>
                <w:szCs w:val="21"/>
              </w:rPr>
              <w:t>出其浓度</w:t>
            </w:r>
            <w:r>
              <w:rPr>
                <w:rFonts w:hint="eastAsia" w:ascii="华文中宋" w:hAnsi="华文中宋" w:eastAsia="华文中宋"/>
                <w:szCs w:val="21"/>
              </w:rPr>
              <w:t>。</w:t>
            </w:r>
          </w:p>
          <w:p>
            <w:pPr>
              <w:pStyle w:val="6"/>
              <w:keepNext w:val="0"/>
              <w:keepLines w:val="0"/>
              <w:pageBreakBefore w:val="0"/>
              <w:widowControl w:val="0"/>
              <w:numPr>
                <w:ilvl w:val="0"/>
                <w:numId w:val="0"/>
              </w:numPr>
              <w:tabs>
                <w:tab w:val="left" w:pos="525"/>
              </w:tabs>
              <w:kinsoku/>
              <w:wordWrap/>
              <w:overflowPunct/>
              <w:topLinePunct w:val="0"/>
              <w:autoSpaceDE/>
              <w:autoSpaceDN/>
              <w:bidi w:val="0"/>
              <w:adjustRightInd/>
              <w:snapToGrid/>
              <w:spacing w:line="468" w:lineRule="exact"/>
              <w:ind w:left="420" w:leftChars="0" w:right="96" w:rightChars="0" w:hanging="420" w:hangingChars="200"/>
              <w:jc w:val="both"/>
              <w:textAlignment w:val="auto"/>
              <w:rPr>
                <w:szCs w:val="21"/>
              </w:rPr>
            </w:pPr>
            <w:r>
              <w:rPr>
                <w:rFonts w:hint="eastAsia"/>
                <w:szCs w:val="21"/>
                <w:lang w:val="en-US" w:eastAsia="zh-CN"/>
              </w:rPr>
              <w:t xml:space="preserve">13. </w:t>
            </w:r>
            <w:r>
              <w:rPr>
                <w:rFonts w:hint="eastAsia" w:ascii="华文中宋" w:hAnsi="华文中宋" w:eastAsia="华文中宋"/>
                <w:szCs w:val="21"/>
              </w:rPr>
              <w:t>如果把本试剂盒用于定性检测，只判断阳性或阴性，则阴性对照Ct必须没有读数，或者大于或等于4</w:t>
            </w:r>
            <w:r>
              <w:rPr>
                <w:rFonts w:ascii="华文中宋" w:hAnsi="华文中宋" w:eastAsia="华文中宋"/>
                <w:szCs w:val="21"/>
              </w:rPr>
              <w:t>0</w:t>
            </w:r>
            <w:r>
              <w:rPr>
                <w:rFonts w:hint="eastAsia" w:ascii="华文中宋" w:hAnsi="华文中宋" w:eastAsia="华文中宋"/>
                <w:szCs w:val="21"/>
              </w:rPr>
              <w:t>。阳性对照必须有荧光对数增长，有典型扩增曲线，Ct值应该小于4</w:t>
            </w:r>
            <w:r>
              <w:rPr>
                <w:rFonts w:ascii="华文中宋" w:hAnsi="华文中宋" w:eastAsia="华文中宋"/>
                <w:szCs w:val="21"/>
              </w:rPr>
              <w:t>0</w:t>
            </w:r>
            <w:r>
              <w:rPr>
                <w:rFonts w:hint="eastAsia" w:ascii="华文中宋" w:hAnsi="华文中宋" w:eastAsia="华文中宋"/>
                <w:szCs w:val="21"/>
              </w:rPr>
              <w:t>。对待测样品，如果其Ct没有读数、大于或等于4</w:t>
            </w:r>
            <w:r>
              <w:rPr>
                <w:rFonts w:ascii="华文中宋" w:hAnsi="华文中宋" w:eastAsia="华文中宋"/>
                <w:szCs w:val="21"/>
              </w:rPr>
              <w:t>0</w:t>
            </w:r>
            <w:r>
              <w:rPr>
                <w:rFonts w:hint="eastAsia" w:ascii="华文中宋" w:hAnsi="华文中宋" w:eastAsia="华文中宋"/>
                <w:szCs w:val="21"/>
              </w:rPr>
              <w:t>则均为阴性，如果小于4</w:t>
            </w:r>
            <w:r>
              <w:rPr>
                <w:rFonts w:ascii="华文中宋" w:hAnsi="华文中宋" w:eastAsia="华文中宋"/>
                <w:szCs w:val="21"/>
              </w:rPr>
              <w:t>0</w:t>
            </w:r>
            <w:r>
              <w:rPr>
                <w:rFonts w:hint="eastAsia" w:ascii="华文中宋" w:hAnsi="华文中宋" w:eastAsia="华文中宋"/>
                <w:szCs w:val="21"/>
              </w:rPr>
              <w:t>则为阳性。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52" w:type="dxa"/>
            <w:tcBorders>
              <w:bottom w:val="single" w:color="auto" w:sz="4" w:space="0"/>
            </w:tcBorders>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关联产品</w:t>
            </w:r>
          </w:p>
        </w:tc>
        <w:tc>
          <w:tcPr>
            <w:tcW w:w="8491" w:type="dxa"/>
            <w:gridSpan w:val="2"/>
            <w:tcBorders>
              <w:bottom w:val="single" w:color="auto" w:sz="4" w:space="0"/>
            </w:tcBorders>
            <w:vAlign w:val="center"/>
          </w:tcPr>
          <w:p>
            <w:pPr>
              <w:spacing w:line="360" w:lineRule="auto"/>
              <w:rPr>
                <w:rFonts w:ascii="华文中宋" w:hAnsi="华文中宋" w:eastAsia="华文中宋" w:cs="华文中宋"/>
                <w:szCs w:val="21"/>
              </w:rPr>
            </w:pPr>
            <w:r>
              <w:rPr>
                <w:rFonts w:hint="eastAsia" w:ascii="华文中宋" w:hAnsi="华文中宋" w:eastAsia="华文中宋" w:cs="华文中宋"/>
                <w:szCs w:val="21"/>
                <w:lang w:val="en-US" w:eastAsia="zh-CN"/>
              </w:rPr>
              <w:t>小鼠肝炎病毒可视化LAMP检测试剂盒</w:t>
            </w:r>
          </w:p>
        </w:tc>
      </w:tr>
    </w:tbl>
    <w:p>
      <w:pPr>
        <w:jc w:val="right"/>
        <w:rPr>
          <w:rFonts w:hint="default" w:eastAsia="宋体"/>
          <w:sz w:val="10"/>
          <w:szCs w:val="10"/>
          <w:lang w:val="en-US" w:eastAsia="zh-CN"/>
        </w:rPr>
      </w:pPr>
      <w:r>
        <w:rPr>
          <w:rFonts w:hint="eastAsia"/>
          <w:sz w:val="10"/>
          <w:szCs w:val="10"/>
          <w:lang w:val="en-US" w:eastAsia="zh-CN"/>
        </w:rPr>
        <w:t>20221205w</w:t>
      </w:r>
    </w:p>
    <w:sectPr>
      <w:pgSz w:w="11906" w:h="16838"/>
      <w:pgMar w:top="1088" w:right="1800" w:bottom="62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2DC08"/>
    <w:multiLevelType w:val="singleLevel"/>
    <w:tmpl w:val="D9F2DC08"/>
    <w:lvl w:ilvl="0" w:tentative="0">
      <w:start w:val="2"/>
      <w:numFmt w:val="chineseCounting"/>
      <w:suff w:val="nothing"/>
      <w:lvlText w:val="%1、"/>
      <w:lvlJc w:val="left"/>
      <w:rPr>
        <w:rFonts w:hint="eastAsia"/>
      </w:rPr>
    </w:lvl>
  </w:abstractNum>
  <w:abstractNum w:abstractNumId="1">
    <w:nsid w:val="0053208E"/>
    <w:multiLevelType w:val="multilevel"/>
    <w:tmpl w:val="0053208E"/>
    <w:lvl w:ilvl="0" w:tentative="0">
      <w:start w:val="1"/>
      <w:numFmt w:val="decimal"/>
      <w:lvlText w:val="%1."/>
      <w:lvlJc w:val="left"/>
      <w:pPr>
        <w:ind w:left="520" w:hanging="421"/>
        <w:jc w:val="left"/>
      </w:pPr>
      <w:rPr>
        <w:rFonts w:hint="default" w:ascii="华文中宋" w:hAnsi="华文中宋" w:eastAsia="华文中宋" w:cs="华文中宋"/>
        <w:spacing w:val="0"/>
        <w:w w:val="100"/>
        <w:sz w:val="21"/>
        <w:szCs w:val="21"/>
        <w:lang w:val="zh-CN" w:eastAsia="zh-CN" w:bidi="zh-CN"/>
      </w:rPr>
    </w:lvl>
    <w:lvl w:ilvl="1" w:tentative="0">
      <w:start w:val="0"/>
      <w:numFmt w:val="bullet"/>
      <w:lvlText w:val="•"/>
      <w:lvlJc w:val="left"/>
      <w:pPr>
        <w:ind w:left="1280" w:hanging="421"/>
      </w:pPr>
      <w:rPr>
        <w:rFonts w:hint="default"/>
        <w:lang w:val="zh-CN" w:eastAsia="zh-CN" w:bidi="zh-CN"/>
      </w:rPr>
    </w:lvl>
    <w:lvl w:ilvl="2" w:tentative="0">
      <w:start w:val="0"/>
      <w:numFmt w:val="bullet"/>
      <w:lvlText w:val="•"/>
      <w:lvlJc w:val="left"/>
      <w:pPr>
        <w:ind w:left="2040" w:hanging="421"/>
      </w:pPr>
      <w:rPr>
        <w:rFonts w:hint="default"/>
        <w:lang w:val="zh-CN" w:eastAsia="zh-CN" w:bidi="zh-CN"/>
      </w:rPr>
    </w:lvl>
    <w:lvl w:ilvl="3" w:tentative="0">
      <w:start w:val="0"/>
      <w:numFmt w:val="bullet"/>
      <w:lvlText w:val="•"/>
      <w:lvlJc w:val="left"/>
      <w:pPr>
        <w:ind w:left="2800" w:hanging="421"/>
      </w:pPr>
      <w:rPr>
        <w:rFonts w:hint="default"/>
        <w:lang w:val="zh-CN" w:eastAsia="zh-CN" w:bidi="zh-CN"/>
      </w:rPr>
    </w:lvl>
    <w:lvl w:ilvl="4" w:tentative="0">
      <w:start w:val="0"/>
      <w:numFmt w:val="bullet"/>
      <w:lvlText w:val="•"/>
      <w:lvlJc w:val="left"/>
      <w:pPr>
        <w:ind w:left="3560" w:hanging="421"/>
      </w:pPr>
      <w:rPr>
        <w:rFonts w:hint="default"/>
        <w:lang w:val="zh-CN" w:eastAsia="zh-CN" w:bidi="zh-CN"/>
      </w:rPr>
    </w:lvl>
    <w:lvl w:ilvl="5" w:tentative="0">
      <w:start w:val="0"/>
      <w:numFmt w:val="bullet"/>
      <w:lvlText w:val="•"/>
      <w:lvlJc w:val="left"/>
      <w:pPr>
        <w:ind w:left="4321" w:hanging="421"/>
      </w:pPr>
      <w:rPr>
        <w:rFonts w:hint="default"/>
        <w:lang w:val="zh-CN" w:eastAsia="zh-CN" w:bidi="zh-CN"/>
      </w:rPr>
    </w:lvl>
    <w:lvl w:ilvl="6" w:tentative="0">
      <w:start w:val="0"/>
      <w:numFmt w:val="bullet"/>
      <w:lvlText w:val="•"/>
      <w:lvlJc w:val="left"/>
      <w:pPr>
        <w:ind w:left="5081" w:hanging="421"/>
      </w:pPr>
      <w:rPr>
        <w:rFonts w:hint="default"/>
        <w:lang w:val="zh-CN" w:eastAsia="zh-CN" w:bidi="zh-CN"/>
      </w:rPr>
    </w:lvl>
    <w:lvl w:ilvl="7" w:tentative="0">
      <w:start w:val="0"/>
      <w:numFmt w:val="bullet"/>
      <w:lvlText w:val="•"/>
      <w:lvlJc w:val="left"/>
      <w:pPr>
        <w:ind w:left="5841" w:hanging="421"/>
      </w:pPr>
      <w:rPr>
        <w:rFonts w:hint="default"/>
        <w:lang w:val="zh-CN" w:eastAsia="zh-CN" w:bidi="zh-CN"/>
      </w:rPr>
    </w:lvl>
    <w:lvl w:ilvl="8" w:tentative="0">
      <w:start w:val="0"/>
      <w:numFmt w:val="bullet"/>
      <w:lvlText w:val="•"/>
      <w:lvlJc w:val="left"/>
      <w:pPr>
        <w:ind w:left="6601" w:hanging="421"/>
      </w:pPr>
      <w:rPr>
        <w:rFonts w:hint="default"/>
        <w:lang w:val="zh-CN" w:eastAsia="zh-CN" w:bidi="zh-CN"/>
      </w:rPr>
    </w:lvl>
  </w:abstractNum>
  <w:abstractNum w:abstractNumId="2">
    <w:nsid w:val="7E146E6E"/>
    <w:multiLevelType w:val="singleLevel"/>
    <w:tmpl w:val="7E146E6E"/>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OTNkMDgwOTBhMzk1OGM1MGE1OWI0ZDI5NjZmMTcifQ=="/>
  </w:docVars>
  <w:rsids>
    <w:rsidRoot w:val="15BE1559"/>
    <w:rsid w:val="003F44C0"/>
    <w:rsid w:val="007203A8"/>
    <w:rsid w:val="00737DA4"/>
    <w:rsid w:val="03B409DD"/>
    <w:rsid w:val="061F7F8D"/>
    <w:rsid w:val="06483F93"/>
    <w:rsid w:val="077A2C56"/>
    <w:rsid w:val="0BE300B2"/>
    <w:rsid w:val="0E912047"/>
    <w:rsid w:val="0FF26CED"/>
    <w:rsid w:val="137B0CC2"/>
    <w:rsid w:val="15BE1559"/>
    <w:rsid w:val="175B58E8"/>
    <w:rsid w:val="18A62483"/>
    <w:rsid w:val="1EB854B7"/>
    <w:rsid w:val="22757E68"/>
    <w:rsid w:val="237F715C"/>
    <w:rsid w:val="25333BDA"/>
    <w:rsid w:val="25632DA3"/>
    <w:rsid w:val="27127645"/>
    <w:rsid w:val="29204FF5"/>
    <w:rsid w:val="29253660"/>
    <w:rsid w:val="2FC27CCE"/>
    <w:rsid w:val="301E7ABA"/>
    <w:rsid w:val="33997124"/>
    <w:rsid w:val="3BB70A8F"/>
    <w:rsid w:val="42080A63"/>
    <w:rsid w:val="42734FE4"/>
    <w:rsid w:val="42ED4FDD"/>
    <w:rsid w:val="453E3FCF"/>
    <w:rsid w:val="4C141988"/>
    <w:rsid w:val="4DBD3290"/>
    <w:rsid w:val="4F59348C"/>
    <w:rsid w:val="5093554B"/>
    <w:rsid w:val="571903F8"/>
    <w:rsid w:val="59CC52AE"/>
    <w:rsid w:val="5D186A5C"/>
    <w:rsid w:val="5F100333"/>
    <w:rsid w:val="5FC627A0"/>
    <w:rsid w:val="67055105"/>
    <w:rsid w:val="67AB3E97"/>
    <w:rsid w:val="68DF7428"/>
    <w:rsid w:val="68EB552B"/>
    <w:rsid w:val="6A5B4538"/>
    <w:rsid w:val="6B1255F8"/>
    <w:rsid w:val="7B8C46C0"/>
    <w:rsid w:val="7D9D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qFormat/>
    <w:uiPriority w:val="0"/>
    <w:pPr>
      <w:widowControl w:val="0"/>
      <w:autoSpaceDE w:val="0"/>
      <w:autoSpaceDN w:val="0"/>
      <w:adjustRightInd w:val="0"/>
    </w:pPr>
    <w:rPr>
      <w:rFonts w:ascii="Verdana" w:hAnsi="Verdana" w:eastAsia="宋体" w:cs="Verdana"/>
      <w:color w:val="000000"/>
      <w:sz w:val="24"/>
      <w:szCs w:val="24"/>
      <w:lang w:val="en-US" w:eastAsia="zh-CN" w:bidi="ar-SA"/>
    </w:rPr>
  </w:style>
  <w:style w:type="paragraph" w:customStyle="1" w:styleId="6">
    <w:name w:val="Table Paragraph"/>
    <w:basedOn w:val="1"/>
    <w:qFormat/>
    <w:uiPriority w:val="1"/>
    <w:pPr>
      <w:jc w:val="center"/>
    </w:pPr>
    <w:rPr>
      <w:rFonts w:ascii="华文中宋" w:hAnsi="华文中宋" w:eastAsia="华文中宋" w:cs="华文中宋"/>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1881</Words>
  <Characters>2374</Characters>
  <Lines>19</Lines>
  <Paragraphs>5</Paragraphs>
  <TotalTime>3</TotalTime>
  <ScaleCrop>false</ScaleCrop>
  <LinksUpToDate>false</LinksUpToDate>
  <CharactersWithSpaces>2386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2021-03-31T06:32:00Z</dcterms:created>
  <dc:creator>凉心姑娘百毒不侵°</dc:creator>
  <cp:lastModifiedBy>山居舍人</cp:lastModifiedBy>
  <dcterms:modified xsi:type="dcterms:W3CDTF">2023-02-06T08:27:55Z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4985A1768295468A9A0D06BBEA3C82A9</vt:lpwstr>
  </property>
</Properties>
</file>