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BC492D" w14:paraId="676FFA63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0650565" w14:textId="77777777" w:rsidR="00BC492D" w:rsidRDefault="003176A1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CCBBC" w14:textId="77777777" w:rsidR="00BC492D" w:rsidRDefault="003176A1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CAT#:14-26420</w:t>
            </w:r>
          </w:p>
          <w:p w14:paraId="1A70AF2F" w14:textId="77777777" w:rsidR="00BC492D" w:rsidRDefault="003176A1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6747" w14:textId="77777777" w:rsidR="00BC492D" w:rsidRDefault="003176A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DEB8C8F" wp14:editId="707BF9FA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92D" w14:paraId="5526E398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DE5A1DF" w14:textId="77777777" w:rsidR="00BC492D" w:rsidRDefault="00BC492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FD627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4796D2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71CB7B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5981BAE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AAE91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B7A7AD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A857C2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B5C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29A1E5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3348DE1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33D9B7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340750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096CFD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A71972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A882E37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61BAEF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4D638D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F0F475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DF1D59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75A7EF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4B87C66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4894991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D82AD2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EFB0C0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5C9642" w14:textId="77777777" w:rsidR="00BC492D" w:rsidRDefault="00BC492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44FD3A04" w14:textId="77777777" w:rsidR="00BC492D" w:rsidRDefault="003176A1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猪巨细胞病毒染料法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41A795B4" w14:textId="77777777" w:rsidR="00BC492D" w:rsidRDefault="003176A1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 w:rsidRPr="008A79B5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Porcine</w:t>
            </w:r>
            <w:r w:rsidRPr="008A79B5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 w:rsidRPr="008A79B5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Cytomegavirus</w:t>
            </w:r>
            <w:r w:rsidRPr="008A79B5"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BC492D" w14:paraId="04CAD610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F629D1" w14:textId="77777777" w:rsidR="00BC492D" w:rsidRDefault="00BC492D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F0A79" w14:textId="77777777" w:rsidR="00BC492D" w:rsidRDefault="003176A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23318BBE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CAABF3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335E66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B92FB8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687651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8FECCC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7C331E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C1B3AE" w14:textId="77777777" w:rsidR="00BC492D" w:rsidRDefault="00BC492D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16F361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838990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410B10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525608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BB35FE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1316E1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61AC20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152129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A6246B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D006E4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A559DA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74F84E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66A8B2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627EC5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A617B2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E7D01E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280189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CFE1AD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7117BE5" w14:textId="77777777" w:rsidR="00BC492D" w:rsidRDefault="00BC492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BC492D" w14:paraId="4E452302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2DD6E" w14:textId="77777777" w:rsidR="00BC492D" w:rsidRDefault="003176A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B75B8F3" w14:textId="77777777" w:rsidR="00BC492D" w:rsidRDefault="003176A1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BC492D" w14:paraId="75E78FF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4D5CF0AC" w14:textId="77777777" w:rsidR="00BC492D" w:rsidRDefault="003176A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0189D460" w14:textId="5F7DD4AF" w:rsidR="00BC492D" w:rsidRDefault="003176A1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猪巨细胞病毒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Porcine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Cytomegavirus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PCMV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/>
                <w:szCs w:val="21"/>
              </w:rPr>
              <w:t>属于</w:t>
            </w:r>
            <w:r>
              <w:rPr>
                <w:rFonts w:ascii="华文中宋" w:eastAsia="华文中宋" w:hAnsi="华文中宋"/>
                <w:szCs w:val="21"/>
              </w:rPr>
              <w:t>β-</w:t>
            </w:r>
            <w:r>
              <w:rPr>
                <w:rFonts w:ascii="华文中宋" w:eastAsia="华文中宋" w:hAnsi="华文中宋"/>
                <w:szCs w:val="21"/>
              </w:rPr>
              <w:t>疱疹病毒科，</w:t>
            </w:r>
            <w:r>
              <w:rPr>
                <w:rFonts w:ascii="华文中宋" w:eastAsia="华文中宋" w:hAnsi="华文中宋" w:hint="eastAsia"/>
                <w:szCs w:val="21"/>
              </w:rPr>
              <w:t>引起</w:t>
            </w:r>
            <w:hyperlink r:id="rId10" w:tgtFrame="_blank" w:history="1">
              <w:r>
                <w:rPr>
                  <w:rFonts w:ascii="华文中宋" w:eastAsia="华文中宋" w:hAnsi="华文中宋"/>
                </w:rPr>
                <w:t>猪巨细胞病毒感染症</w:t>
              </w:r>
            </w:hyperlink>
            <w:r>
              <w:rPr>
                <w:rFonts w:ascii="华文中宋" w:eastAsia="华文中宋" w:hAnsi="华文中宋"/>
                <w:szCs w:val="21"/>
              </w:rPr>
              <w:t>又称包涵体鼻炎，主要侵害猪的鼻甲黏膜黏液腺、</w:t>
            </w:r>
            <w:hyperlink r:id="rId11" w:tgtFrame="_blank" w:history="1">
              <w:r>
                <w:rPr>
                  <w:rFonts w:ascii="华文中宋" w:eastAsia="华文中宋" w:hAnsi="华文中宋"/>
                </w:rPr>
                <w:t>泪腺</w:t>
              </w:r>
            </w:hyperlink>
            <w:r>
              <w:rPr>
                <w:rFonts w:ascii="华文中宋" w:eastAsia="华文中宋" w:hAnsi="华文中宋"/>
                <w:szCs w:val="21"/>
              </w:rPr>
              <w:t>、唾液腺及肾小管</w:t>
            </w:r>
            <w:r>
              <w:rPr>
                <w:rFonts w:ascii="华文中宋" w:eastAsia="华文中宋" w:hAnsi="华文中宋"/>
                <w:szCs w:val="21"/>
              </w:rPr>
              <w:t>上皮，种猪感染后可引起胚胎和子猪发育不良，子</w:t>
            </w:r>
            <w:hyperlink r:id="rId12" w:tgtFrame="_blank" w:history="1">
              <w:r>
                <w:rPr>
                  <w:rFonts w:ascii="华文中宋" w:eastAsia="华文中宋" w:hAnsi="华文中宋"/>
                </w:rPr>
                <w:t>猪鼻炎</w:t>
              </w:r>
            </w:hyperlink>
            <w:r>
              <w:rPr>
                <w:rFonts w:ascii="华文中宋" w:eastAsia="华文中宋" w:hAnsi="华文中宋"/>
                <w:szCs w:val="21"/>
              </w:rPr>
              <w:t>、肺炎以及增重缓慢等。感染猪后感染细胞体积是正常细胞的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/>
                <w:szCs w:val="21"/>
              </w:rPr>
              <w:t>倍</w:t>
            </w:r>
            <w:r w:rsidR="008A79B5">
              <w:rPr>
                <w:rFonts w:ascii="华文中宋" w:eastAsia="华文中宋" w:hAnsi="华文中宋" w:hint="eastAsia"/>
                <w:szCs w:val="21"/>
              </w:rPr>
              <w:t>。</w:t>
            </w:r>
            <w:r>
              <w:rPr>
                <w:rFonts w:ascii="华文中宋" w:eastAsia="华文中宋" w:hAnsi="华文中宋"/>
                <w:szCs w:val="21"/>
              </w:rPr>
              <w:t>猪巨细胞病毒有宿主的特异性，不能在兔、鼠、鸡胚和牛体内复制，只有在猪体内复制，在已经分离出的毒株中，没有证明有血清学变异。</w:t>
            </w:r>
            <w:r>
              <w:rPr>
                <w:rFonts w:ascii="华文中宋" w:eastAsia="华文中宋" w:hAnsi="华文中宋" w:hint="eastAsia"/>
                <w:szCs w:val="21"/>
              </w:rPr>
              <w:t>由于</w:t>
            </w:r>
            <w:r>
              <w:rPr>
                <w:rFonts w:ascii="华文中宋" w:eastAsia="华文中宋" w:hAnsi="华文中宋"/>
                <w:szCs w:val="21"/>
              </w:rPr>
              <w:t>猪巨细胞病毒</w:t>
            </w:r>
            <w:r>
              <w:rPr>
                <w:rFonts w:ascii="华文中宋" w:eastAsia="华文中宋" w:hAnsi="华文中宋" w:hint="eastAsia"/>
                <w:szCs w:val="21"/>
              </w:rPr>
              <w:t>危害巨大，因此对其进行快速准确的诊断具有重要意义。本产品就是为此目的开发的专门检测</w:t>
            </w:r>
            <w:r>
              <w:rPr>
                <w:rFonts w:ascii="华文中宋" w:eastAsia="华文中宋" w:hAnsi="华文中宋"/>
                <w:szCs w:val="21"/>
              </w:rPr>
              <w:t>猪巨细胞病毒</w:t>
            </w:r>
            <w:r>
              <w:rPr>
                <w:rFonts w:ascii="华文中宋" w:eastAsia="华文中宋" w:hAnsi="华文中宋" w:hint="eastAsia"/>
                <w:szCs w:val="21"/>
              </w:rPr>
              <w:t>的荧光定量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试剂盒，它具有下列特点：</w:t>
            </w:r>
          </w:p>
          <w:p w14:paraId="1FA50AD8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199DBB24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3211BAC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82F7189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/>
                <w:szCs w:val="21"/>
              </w:rPr>
              <w:t>猪巨细胞病毒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0F23610D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5B4EDFC0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7BEAB325" w14:textId="77777777" w:rsidR="00BC492D" w:rsidRDefault="003176A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C492D" w14:paraId="1762D55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4F8A1A58" w14:textId="77777777" w:rsidR="00BC492D" w:rsidRDefault="003176A1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BC492D" w14:paraId="0121B117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0217D50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1FD10349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3077DB38" w14:textId="12A15D87" w:rsidR="00BC492D" w:rsidRDefault="008A79B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</w:tr>
            <w:tr w:rsidR="00BC492D" w14:paraId="17F84DD7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493663F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 MagicMix</w:t>
                  </w:r>
                </w:p>
              </w:tc>
              <w:tc>
                <w:tcPr>
                  <w:tcW w:w="1727" w:type="dxa"/>
                  <w:vAlign w:val="center"/>
                </w:tcPr>
                <w:p w14:paraId="25C63CC8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2411" w:type="dxa"/>
                  <w:vAlign w:val="center"/>
                </w:tcPr>
                <w:p w14:paraId="411684FA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BC492D" w14:paraId="41954245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2BCEF930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3E3A763D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63D6C6CB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盖管）</w:t>
                  </w:r>
                </w:p>
              </w:tc>
            </w:tr>
            <w:tr w:rsidR="00BC492D" w14:paraId="13C9AA7C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161C39D2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 w14:paraId="53E2DE37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411" w:type="dxa"/>
                  <w:vAlign w:val="center"/>
                </w:tcPr>
                <w:p w14:paraId="4173D546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盖管）</w:t>
                  </w:r>
                </w:p>
              </w:tc>
            </w:tr>
            <w:tr w:rsidR="00BC492D" w14:paraId="0CD4221A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A9E1889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猪巨细胞病毒染料法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5E20102B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0F1917A4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15-26420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va</w:t>
                  </w:r>
                </w:p>
              </w:tc>
              <w:tc>
                <w:tcPr>
                  <w:tcW w:w="2411" w:type="dxa"/>
                  <w:vAlign w:val="center"/>
                </w:tcPr>
                <w:p w14:paraId="50ACB622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BC492D" w14:paraId="035C44F5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12CFA90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猪巨细胞病毒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75954C36" w14:textId="77777777" w:rsidR="00BC492D" w:rsidRDefault="003176A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7B99B504" w14:textId="646B2B81" w:rsidR="00BC492D" w:rsidRDefault="008A79B5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</w:t>
                  </w:r>
                  <w:r w:rsidR="003176A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d</w:t>
                  </w:r>
                  <w:r w:rsidR="003176A1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3176A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26420va</w:t>
                  </w:r>
                </w:p>
              </w:tc>
              <w:tc>
                <w:tcPr>
                  <w:tcW w:w="2411" w:type="dxa"/>
                  <w:vAlign w:val="center"/>
                </w:tcPr>
                <w:p w14:paraId="52C24EF7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BC492D" w14:paraId="645D5480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5CE1BB6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4F09CB24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14-26420sc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45C2FC7E" w14:textId="77777777" w:rsidR="00BC492D" w:rsidRDefault="003176A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6B7F8D76" w14:textId="77777777" w:rsidR="00BC492D" w:rsidRDefault="00BC492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BC492D" w14:paraId="64FFEB2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459F2C9E" w14:textId="77777777" w:rsidR="00BC492D" w:rsidRDefault="003176A1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067F8437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BC492D" w14:paraId="5086EE4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48ED0159" w14:textId="77777777" w:rsidR="00BC492D" w:rsidRDefault="003176A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4759866D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BC492D" w14:paraId="122A286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6370A642" w14:textId="77777777" w:rsidR="00BC492D" w:rsidRDefault="003176A1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73A72B35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F318C68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AE4713C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8D8E397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9FD4B4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5AF9D63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D35A7F2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E78C59B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2A41AB38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步所得的第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4524A01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53EDC6DA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3F285C4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</w:t>
            </w:r>
            <w:r>
              <w:rPr>
                <w:rFonts w:ascii="华文中宋" w:eastAsia="华文中宋" w:hAnsi="华文中宋"/>
                <w:szCs w:val="21"/>
              </w:rPr>
              <w:t>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A02919C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BC492D" w14:paraId="243CA110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F98EC9A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B9D578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7C3F2A71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1E4C26B1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6A750EAB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27C0A312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BC492D" w14:paraId="6F125EA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4FBAD24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062E1F1D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26C57A1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16A88E5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BC492D" w14:paraId="1CF3EA3E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EC625FB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猪巨细胞病毒染料法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02ABD033" w14:textId="77777777" w:rsidR="00BC492D" w:rsidRDefault="003176A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45EE8FB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181C9E5C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BC492D" w14:paraId="1B3F88D8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46E168D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1E640ABF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EFD0DF6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4D0D88A2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C492D" w14:paraId="17F34C85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6F717FB6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703D60A0" w14:textId="77777777" w:rsidR="00BC492D" w:rsidRDefault="003176A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7DB0CF89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16ACE4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C492D" w14:paraId="5A02CE8D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6BCB4BCE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7128053C" w14:textId="77777777" w:rsidR="00BC492D" w:rsidRDefault="003176A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lastRenderedPageBreak/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5DC21D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52EC9AFD" w14:textId="77777777" w:rsidR="00BC492D" w:rsidRDefault="003176A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8BACD9E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BC492D" w14:paraId="141299A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16EEA6E" w14:textId="77777777" w:rsidR="00BC492D" w:rsidRDefault="003176A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7247B77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5DA167A9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C492D" w14:paraId="4232B7B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89DA503" w14:textId="77777777" w:rsidR="00BC492D" w:rsidRDefault="003176A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2D03BE8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499708A0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</w:tr>
            <w:tr w:rsidR="00BC492D" w14:paraId="427A7701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EBDEBC6" w14:textId="77777777" w:rsidR="00BC492D" w:rsidRDefault="003176A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70AE90A" w14:textId="77777777" w:rsidR="00BC492D" w:rsidRDefault="003176A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89B03DF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3DF03051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BC492D" w14:paraId="306E1D0E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F344A8F" w14:textId="77777777" w:rsidR="00BC492D" w:rsidRDefault="00BC492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41D510D" w14:textId="77777777" w:rsidR="00BC492D" w:rsidRDefault="003176A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33BB385D" w14:textId="77777777" w:rsidR="00BC492D" w:rsidRDefault="003176A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秒（采集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B5D70B0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1AB8D82C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049C75B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值，但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不一样的样品（包括对照和待测样品），归为假阳性，数据无效，不予以分析。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一致的，为有效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971D0D0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值一样，说明环境或试剂可能有过去的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扩增产物污染，则此次实验无效，需要解决污染问题再进行实验。</w:t>
            </w:r>
          </w:p>
          <w:p w14:paraId="4E64A4D6" w14:textId="35BE6C90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阴性对照）扩增产品的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跟阳性样品的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不同，则判为假阳性，这种情况下，</w:t>
            </w:r>
            <w:r w:rsidR="008A79B5">
              <w:rPr>
                <w:rFonts w:ascii="华文中宋" w:eastAsia="华文中宋" w:hAnsi="华文中宋" w:hint="eastAsia"/>
                <w:szCs w:val="21"/>
              </w:rPr>
              <w:t>实验有效，</w:t>
            </w:r>
            <w:r>
              <w:rPr>
                <w:rFonts w:ascii="华文中宋" w:eastAsia="华文中宋" w:hAnsi="华文中宋" w:hint="eastAsia"/>
                <w:szCs w:val="21"/>
              </w:rPr>
              <w:t>可以继续分析其它样品有效数据。</w:t>
            </w:r>
          </w:p>
          <w:p w14:paraId="06148774" w14:textId="77777777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C9D1B38" w14:textId="1C0902AC" w:rsidR="00BC492D" w:rsidRDefault="003176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</w:t>
            </w:r>
            <w:r w:rsidR="008A79B5">
              <w:rPr>
                <w:rFonts w:ascii="华文中宋" w:eastAsia="华文中宋" w:hAnsi="华文中宋" w:hint="eastAsia"/>
                <w:szCs w:val="21"/>
              </w:rPr>
              <w:t>具有</w:t>
            </w:r>
            <w:r>
              <w:rPr>
                <w:rFonts w:ascii="华文中宋" w:eastAsia="华文中宋" w:hAnsi="华文中宋" w:hint="eastAsia"/>
                <w:szCs w:val="21"/>
              </w:rPr>
              <w:t>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</w:t>
            </w:r>
            <w:r w:rsidR="008A79B5"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为</w:t>
            </w:r>
            <w:r>
              <w:rPr>
                <w:rFonts w:ascii="华文中宋" w:eastAsia="华文中宋" w:hAnsi="华文中宋" w:hint="eastAsia"/>
                <w:szCs w:val="21"/>
              </w:rPr>
              <w:t>阳性，</w:t>
            </w:r>
            <w:r w:rsidR="008A79B5">
              <w:rPr>
                <w:rFonts w:ascii="华文中宋" w:eastAsia="华文中宋" w:hAnsi="华文中宋" w:hint="eastAsia"/>
                <w:szCs w:val="21"/>
              </w:rPr>
              <w:t>没有</w:t>
            </w:r>
            <w:r>
              <w:rPr>
                <w:rFonts w:ascii="华文中宋" w:eastAsia="华文中宋" w:hAnsi="华文中宋" w:hint="eastAsia"/>
                <w:szCs w:val="21"/>
              </w:rPr>
              <w:t>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</w:t>
            </w:r>
            <w:r w:rsidR="008A79B5"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为阴性。</w:t>
            </w:r>
          </w:p>
        </w:tc>
      </w:tr>
      <w:tr w:rsidR="00BC492D" w14:paraId="4A3EEF1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65C06CC" w14:textId="77777777" w:rsidR="00BC492D" w:rsidRDefault="003176A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437DC016" w14:textId="77777777" w:rsidR="00BC492D" w:rsidRDefault="003176A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猪巨细胞病毒荧光及可视化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B685E03" w14:textId="40AC3028" w:rsidR="00BC492D" w:rsidRDefault="008A79B5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20220324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BC492D">
      <w:headerReference w:type="default" r:id="rId13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FDB3" w14:textId="77777777" w:rsidR="003176A1" w:rsidRDefault="003176A1">
      <w:r>
        <w:separator/>
      </w:r>
    </w:p>
  </w:endnote>
  <w:endnote w:type="continuationSeparator" w:id="0">
    <w:p w14:paraId="6874890D" w14:textId="77777777" w:rsidR="003176A1" w:rsidRDefault="0031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199D" w14:textId="77777777" w:rsidR="003176A1" w:rsidRDefault="003176A1">
      <w:r>
        <w:separator/>
      </w:r>
    </w:p>
  </w:footnote>
  <w:footnote w:type="continuationSeparator" w:id="0">
    <w:p w14:paraId="2C71426C" w14:textId="77777777" w:rsidR="003176A1" w:rsidRDefault="0031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76EB" w14:textId="77777777" w:rsidR="00BC492D" w:rsidRDefault="00BC492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5C44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176A1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0572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A79B5"/>
    <w:rsid w:val="008B68CC"/>
    <w:rsid w:val="008B7017"/>
    <w:rsid w:val="008C4AC4"/>
    <w:rsid w:val="008D4594"/>
    <w:rsid w:val="008E29EF"/>
    <w:rsid w:val="008E7377"/>
    <w:rsid w:val="008F760B"/>
    <w:rsid w:val="008F7D47"/>
    <w:rsid w:val="0090161F"/>
    <w:rsid w:val="00911ADC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C492D"/>
    <w:rsid w:val="00BD08EC"/>
    <w:rsid w:val="00BD3AE7"/>
    <w:rsid w:val="00BE0CE7"/>
    <w:rsid w:val="00BE12EE"/>
    <w:rsid w:val="00BE78D8"/>
    <w:rsid w:val="00BF07C0"/>
    <w:rsid w:val="00C13988"/>
    <w:rsid w:val="00C140A7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DE78FC"/>
    <w:rsid w:val="00E05012"/>
    <w:rsid w:val="00E103AC"/>
    <w:rsid w:val="00E117B0"/>
    <w:rsid w:val="00E13291"/>
    <w:rsid w:val="00E14E8A"/>
    <w:rsid w:val="00E2169F"/>
    <w:rsid w:val="00E27DB7"/>
    <w:rsid w:val="00E34D50"/>
    <w:rsid w:val="00E41717"/>
    <w:rsid w:val="00E45435"/>
    <w:rsid w:val="00E55273"/>
    <w:rsid w:val="00E74907"/>
    <w:rsid w:val="00E75C7A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13B4944"/>
    <w:rsid w:val="109776BD"/>
    <w:rsid w:val="1A0C4C78"/>
    <w:rsid w:val="1C7F7983"/>
    <w:rsid w:val="1D412E8A"/>
    <w:rsid w:val="29235B3A"/>
    <w:rsid w:val="2BE710A1"/>
    <w:rsid w:val="2E6764C9"/>
    <w:rsid w:val="31833619"/>
    <w:rsid w:val="31CF685F"/>
    <w:rsid w:val="34030A42"/>
    <w:rsid w:val="46F34946"/>
    <w:rsid w:val="501716A5"/>
    <w:rsid w:val="53AA2830"/>
    <w:rsid w:val="55872E29"/>
    <w:rsid w:val="5D0F7BA8"/>
    <w:rsid w:val="61366475"/>
    <w:rsid w:val="728E539F"/>
    <w:rsid w:val="75431D79"/>
    <w:rsid w:val="7D1C7A4B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D23E1"/>
  <w15:docId w15:val="{34152D20-0516-43A4-BD3A-BCD537E3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7%8C%AA%E9%BC%BB%E7%82%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6%B3%AA%E8%85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7%8C%AA%E5%B7%A8%E7%BB%86%E8%83%9E%E7%97%85%E6%AF%92%E6%84%9F%E6%9F%93%E7%97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448</Words>
  <Characters>2557</Characters>
  <Application>Microsoft Office Word</Application>
  <DocSecurity>0</DocSecurity>
  <Lines>21</Lines>
  <Paragraphs>5</Paragraphs>
  <ScaleCrop>false</ScaleCrop>
  <Company>tiandz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5</cp:revision>
  <cp:lastPrinted>2019-05-23T05:59:00Z</cp:lastPrinted>
  <dcterms:created xsi:type="dcterms:W3CDTF">2022-03-09T12:56:00Z</dcterms:created>
  <dcterms:modified xsi:type="dcterms:W3CDTF">2022-03-24T07:38:00Z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670677C7857544B1BB5C4773CE755EA2</vt:lpwstr>
  </property>
</Properties>
</file>