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82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692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CAT#:14-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141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79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小鼠线粒体DNA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染料法qPCR试剂盒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36"/>
                <w:szCs w:val="36"/>
                <w:highlight w:val="none"/>
              </w:rPr>
              <w:t>Mouse Mitochondrion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 xml:space="preserve"> DNA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SYBR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q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>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7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930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；电话：400-6605850；电邮：order@bingene.com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889" w:type="dxa"/>
            <w:gridSpan w:val="3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线粒体是真核生物产生能量的重要细胞器，它具有自身的基因组，线粒体</w:t>
            </w:r>
          </w:p>
          <w:p>
            <w:pPr>
              <w:widowControl/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DNA和细胞核DNA共同决定真核生物的表现型，因此研究线粒体DNA具有重要意义。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荧光定量PCR是检测传染性疾病的主流技术，本产品就是以染料法荧光定量PCR技术为基础开发的专门检测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小鼠线粒体DNA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引物经过优化，灵敏性高，分析灵敏度可以达到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小鼠线粒体DNA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体系的染料法荧光定量PCR反应。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既可用于定性，也可用于定量。用于定量时线性范围至少5个数量级。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889" w:type="dxa"/>
            <w:gridSpan w:val="3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本产品采用5孔盒包装</w:t>
            </w:r>
          </w:p>
          <w:tbl>
            <w:tblPr>
              <w:tblStyle w:val="5"/>
              <w:tblW w:w="745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3"/>
              <w:gridCol w:w="1469"/>
              <w:gridCol w:w="1559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6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4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SYBR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qPCR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Ma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ster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Mix</w:t>
                  </w:r>
                </w:p>
              </w:tc>
              <w:tc>
                <w:tcPr>
                  <w:tcW w:w="14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990408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 mL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模板稀释液</w:t>
                  </w:r>
                </w:p>
              </w:tc>
              <w:tc>
                <w:tcPr>
                  <w:tcW w:w="14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4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210806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 mL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小鼠线粒体DNA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染料法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PCR引物混合液</w:t>
                  </w:r>
                </w:p>
              </w:tc>
              <w:tc>
                <w:tcPr>
                  <w:tcW w:w="14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14-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141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mL白盖管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小鼠线粒体DNA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PCR阳性对照 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469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Pc141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6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46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14-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141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889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889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样品DNA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889" w:type="dxa"/>
            <w:gridSpan w:val="3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个离心管，分别为6，5，4，3，2，1。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第6步所得的第4号稀释液（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拷贝/μL）再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核酸纯化试剂盒所要求的起始样本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兼容，也可使用本公司的免提取核酸释放剂。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三、染料法qPCR反应（20μL体系，在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标准曲线。如果做定性分析，并且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693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1"/>
              <w:gridCol w:w="1071"/>
              <w:gridCol w:w="1196"/>
              <w:gridCol w:w="1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样品管（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2×SYBR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qPCR 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Ma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sterMix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小鼠线粒体DNA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染料法q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上机，按下面参数进行PCR：</w:t>
            </w:r>
          </w:p>
          <w:tbl>
            <w:tblPr>
              <w:tblStyle w:val="5"/>
              <w:tblW w:w="727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7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60℃</w:t>
                  </w:r>
                </w:p>
              </w:tc>
              <w:tc>
                <w:tcPr>
                  <w:tcW w:w="37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0秒（采集SYBR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溶解曲线分析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按qPCR仪器手册执行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注意：循环次数不要超过3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个循环。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五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如果两种阴性对照（样品制备阴性对照和PCR阴性对照）是假阳性，可以继续分析其它样品有效数据。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换算出待测样品的DNA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对定性检测，则有有效Ct值的为阳性，无有效Ct值的为阴性。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小鼠线粒体DNA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  <w:bookmarkEnd w:id="0"/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10"/>
          <w:szCs w:val="10"/>
          <w:highlight w:val="yellow"/>
        </w:rPr>
        <w:t>20220721dx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D724A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97D84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02E33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68CC"/>
    <w:rsid w:val="008C4AC4"/>
    <w:rsid w:val="008D4594"/>
    <w:rsid w:val="008E29EF"/>
    <w:rsid w:val="008E7377"/>
    <w:rsid w:val="008F760B"/>
    <w:rsid w:val="008F7D47"/>
    <w:rsid w:val="0090161F"/>
    <w:rsid w:val="009276E6"/>
    <w:rsid w:val="009305CD"/>
    <w:rsid w:val="00931BC6"/>
    <w:rsid w:val="0093660D"/>
    <w:rsid w:val="009577C3"/>
    <w:rsid w:val="0097688F"/>
    <w:rsid w:val="00983671"/>
    <w:rsid w:val="0098559D"/>
    <w:rsid w:val="00987046"/>
    <w:rsid w:val="0099150C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9263B"/>
    <w:rsid w:val="00BB5176"/>
    <w:rsid w:val="00BD030B"/>
    <w:rsid w:val="00BD08EC"/>
    <w:rsid w:val="00BD3AE7"/>
    <w:rsid w:val="00BE0CE7"/>
    <w:rsid w:val="00BE12EE"/>
    <w:rsid w:val="00BE78D8"/>
    <w:rsid w:val="00BF07C0"/>
    <w:rsid w:val="00BF3E5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0E06"/>
    <w:rsid w:val="00D12DB4"/>
    <w:rsid w:val="00D207FE"/>
    <w:rsid w:val="00D21CB8"/>
    <w:rsid w:val="00D23BAC"/>
    <w:rsid w:val="00D24C89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A409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34035B0"/>
    <w:rsid w:val="27B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华文中宋" w:hAnsi="华文中宋" w:eastAsia="华文中宋" w:cs="华文中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1914</Words>
  <Characters>2323</Characters>
  <Lines>18</Lines>
  <Paragraphs>5</Paragraphs>
  <TotalTime>2</TotalTime>
  <ScaleCrop>false</ScaleCrop>
  <LinksUpToDate>false</LinksUpToDate>
  <CharactersWithSpaces>2358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2019-05-23T05:47:00Z</dcterms:created>
  <dc:creator>user</dc:creator>
  <cp:lastModifiedBy>설양</cp:lastModifiedBy>
  <cp:lastPrinted>2019-05-23T05:59:00Z</cp:lastPrinted>
  <dcterms:modified xsi:type="dcterms:W3CDTF">2022-07-21T09:03:25Z</dcterms:modified>
  <dc:title> 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8C611647DB55462ABA1C46EFD4060E22</vt:lpwstr>
  </property>
</Properties>
</file>