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114"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15"/>
        <w:gridCol w:w="370"/>
        <w:gridCol w:w="3969"/>
        <w:gridCol w:w="3426"/>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176" w:type="dxa"/>
            <w:gridSpan w:val="2"/>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highlight w:val="none"/>
              </w:rPr>
            </w:pPr>
            <w:r>
              <w:rPr>
                <w:rFonts w:hint="eastAsia" w:ascii="华文中宋" w:hAnsi="华文中宋" w:eastAsia="华文中宋"/>
                <w:b/>
                <w:sz w:val="52"/>
                <w:szCs w:val="52"/>
                <w:highlight w:val="none"/>
              </w:rPr>
              <w:t>天净沙系列</w:t>
            </w:r>
          </w:p>
        </w:tc>
        <w:tc>
          <w:tcPr>
            <w:tcW w:w="4339" w:type="dxa"/>
            <w:gridSpan w:val="2"/>
            <w:tcBorders>
              <w:top w:val="nil"/>
              <w:left w:val="single" w:color="auto" w:sz="4" w:space="0"/>
              <w:bottom w:val="nil"/>
              <w:right w:val="nil"/>
            </w:tcBorders>
            <w:vAlign w:val="center"/>
          </w:tcPr>
          <w:p>
            <w:pPr>
              <w:spacing w:line="400" w:lineRule="exact"/>
              <w:rPr>
                <w:rFonts w:hint="eastAsia" w:ascii="华文中宋" w:hAnsi="华文中宋" w:eastAsia="华文中宋"/>
                <w:b/>
                <w:sz w:val="28"/>
                <w:szCs w:val="28"/>
                <w:highlight w:val="none"/>
                <w:lang w:eastAsia="zh-CN"/>
              </w:rPr>
            </w:pPr>
            <w:r>
              <w:rPr>
                <w:rFonts w:hint="eastAsia" w:ascii="华文中宋" w:hAnsi="华文中宋" w:eastAsia="华文中宋"/>
                <w:b/>
                <w:sz w:val="28"/>
                <w:szCs w:val="28"/>
                <w:highlight w:val="none"/>
              </w:rPr>
              <w:t>CAT#:13-</w:t>
            </w:r>
            <w:r>
              <w:rPr>
                <w:rFonts w:hint="eastAsia" w:ascii="华文中宋" w:hAnsi="华文中宋" w:eastAsia="华文中宋"/>
                <w:b/>
                <w:sz w:val="28"/>
                <w:szCs w:val="28"/>
                <w:highlight w:val="none"/>
                <w:lang w:eastAsia="zh-CN"/>
              </w:rPr>
              <w:t>110</w:t>
            </w:r>
          </w:p>
          <w:p>
            <w:pPr>
              <w:spacing w:line="400" w:lineRule="exact"/>
              <w:rPr>
                <w:rFonts w:ascii="华文中宋" w:hAnsi="华文中宋" w:eastAsia="华文中宋"/>
                <w:b/>
                <w:sz w:val="52"/>
                <w:szCs w:val="52"/>
                <w:highlight w:val="none"/>
              </w:rPr>
            </w:pPr>
            <w:r>
              <w:rPr>
                <w:rFonts w:hint="eastAsia" w:ascii="华文中宋" w:hAnsi="华文中宋" w:eastAsia="华文中宋"/>
                <w:b/>
                <w:sz w:val="28"/>
                <w:szCs w:val="28"/>
                <w:highlight w:val="none"/>
              </w:rPr>
              <w:t>低温</w:t>
            </w:r>
            <w:r>
              <w:rPr>
                <w:rFonts w:ascii="华文中宋" w:hAnsi="华文中宋" w:eastAsia="华文中宋"/>
                <w:b/>
                <w:sz w:val="28"/>
                <w:szCs w:val="28"/>
                <w:highlight w:val="none"/>
              </w:rPr>
              <w:t>运输</w:t>
            </w:r>
            <w:r>
              <w:rPr>
                <w:rFonts w:hint="eastAsia" w:ascii="华文中宋" w:hAnsi="华文中宋" w:eastAsia="华文中宋"/>
                <w:b/>
                <w:sz w:val="28"/>
                <w:szCs w:val="28"/>
                <w:highlight w:val="none"/>
              </w:rPr>
              <w:t>，-20</w:t>
            </w:r>
            <w:r>
              <w:rPr>
                <w:rFonts w:ascii="华文中宋" w:hAnsi="华文中宋" w:eastAsia="华文中宋"/>
                <w:b/>
                <w:sz w:val="28"/>
                <w:szCs w:val="28"/>
                <w:highlight w:val="none"/>
              </w:rPr>
              <w:t>℃保存</w:t>
            </w:r>
          </w:p>
        </w:tc>
        <w:tc>
          <w:tcPr>
            <w:tcW w:w="3599" w:type="dxa"/>
            <w:gridSpan w:val="2"/>
            <w:tcBorders>
              <w:top w:val="nil"/>
              <w:left w:val="nil"/>
              <w:bottom w:val="nil"/>
              <w:right w:val="nil"/>
            </w:tcBorders>
            <w:vAlign w:val="center"/>
          </w:tcPr>
          <w:p>
            <w:pPr>
              <w:spacing w:line="720" w:lineRule="auto"/>
              <w:jc w:val="right"/>
              <w:rPr>
                <w:rFonts w:ascii="华文中宋" w:hAnsi="华文中宋" w:eastAsia="华文中宋"/>
                <w:b/>
                <w:i/>
                <w:sz w:val="52"/>
                <w:szCs w:val="52"/>
                <w:highlight w:val="none"/>
              </w:rPr>
            </w:pPr>
            <w:r>
              <w:rPr>
                <w:highlight w:val="none"/>
              </w:rPr>
              <w:drawing>
                <wp:inline distT="0" distB="0" distL="114300" distR="114300">
                  <wp:extent cx="1951990" cy="499745"/>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951990" cy="4997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2176" w:type="dxa"/>
            <w:gridSpan w:val="2"/>
            <w:vMerge w:val="continue"/>
            <w:tcBorders>
              <w:left w:val="nil"/>
              <w:right w:val="single" w:color="auto" w:sz="4" w:space="0"/>
            </w:tcBorders>
          </w:tcPr>
          <w:p>
            <w:pPr>
              <w:jc w:val="center"/>
              <w:rPr>
                <w:rFonts w:ascii="华文中宋" w:hAnsi="华文中宋" w:eastAsia="华文中宋"/>
                <w:highlight w:val="none"/>
              </w:rPr>
            </w:pPr>
          </w:p>
        </w:tc>
        <w:tc>
          <w:tcPr>
            <w:tcW w:w="7938" w:type="dxa"/>
            <w:gridSpan w:val="4"/>
            <w:tcBorders>
              <w:top w:val="nil"/>
              <w:left w:val="single" w:color="auto" w:sz="4" w:space="0"/>
              <w:bottom w:val="single" w:color="auto" w:sz="4" w:space="0"/>
              <w:right w:val="nil"/>
            </w:tcBorders>
          </w:tcPr>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hint="eastAsia"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spacing w:line="180" w:lineRule="exact"/>
              <w:jc w:val="left"/>
              <w:rPr>
                <w:rFonts w:ascii="华文中宋" w:hAnsi="华文中宋" w:eastAsia="华文中宋"/>
                <w:b/>
                <w:sz w:val="48"/>
                <w:szCs w:val="48"/>
                <w:highlight w:val="none"/>
              </w:rPr>
            </w:pPr>
          </w:p>
          <w:p>
            <w:pPr>
              <w:widowControl/>
              <w:jc w:val="left"/>
              <w:rPr>
                <w:kern w:val="0"/>
                <w:sz w:val="44"/>
                <w:szCs w:val="44"/>
                <w:highlight w:val="none"/>
              </w:rPr>
            </w:pPr>
            <w:bookmarkStart w:id="0" w:name="_GoBack"/>
            <w:r>
              <w:rPr>
                <w:rFonts w:hint="eastAsia" w:ascii="华文中宋" w:hAnsi="华文中宋" w:eastAsia="华文中宋"/>
                <w:b/>
                <w:sz w:val="44"/>
                <w:szCs w:val="44"/>
                <w:highlight w:val="none"/>
                <w:lang w:val="en-US" w:eastAsia="zh-CN"/>
              </w:rPr>
              <w:t>鸡</w:t>
            </w:r>
            <w:r>
              <w:rPr>
                <w:rFonts w:hint="eastAsia" w:ascii="华文中宋" w:hAnsi="华文中宋" w:eastAsia="华文中宋"/>
                <w:b/>
                <w:sz w:val="44"/>
                <w:szCs w:val="44"/>
                <w:highlight w:val="none"/>
              </w:rPr>
              <w:t>源性成分PCR试剂盒</w:t>
            </w:r>
          </w:p>
          <w:bookmarkEnd w:id="0"/>
          <w:p>
            <w:pPr>
              <w:ind w:right="126" w:rightChars="60"/>
              <w:jc w:val="left"/>
              <w:rPr>
                <w:rFonts w:ascii="华文中宋" w:hAnsi="华文中宋" w:eastAsia="华文中宋"/>
                <w:b/>
                <w:sz w:val="48"/>
                <w:szCs w:val="48"/>
                <w:highlight w:val="none"/>
              </w:rPr>
            </w:pPr>
            <w:r>
              <w:rPr>
                <w:rFonts w:hint="eastAsia" w:ascii="华文中宋" w:hAnsi="华文中宋" w:eastAsia="华文中宋"/>
                <w:b/>
                <w:i/>
                <w:iCs/>
                <w:sz w:val="44"/>
                <w:szCs w:val="44"/>
                <w:highlight w:val="none"/>
              </w:rPr>
              <w:t>Chicken-Derived Material</w:t>
            </w:r>
            <w:r>
              <w:rPr>
                <w:rFonts w:hint="eastAsia" w:ascii="华文中宋" w:hAnsi="华文中宋" w:eastAsia="华文中宋"/>
                <w:b/>
                <w:sz w:val="44"/>
                <w:szCs w:val="44"/>
                <w:highlight w:val="none"/>
              </w:rPr>
              <w:t xml:space="preserve"> PCR Kit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2176" w:type="dxa"/>
            <w:gridSpan w:val="2"/>
            <w:vMerge w:val="continue"/>
            <w:tcBorders>
              <w:left w:val="nil"/>
              <w:bottom w:val="single" w:color="auto" w:sz="4" w:space="0"/>
              <w:right w:val="single" w:color="auto" w:sz="4" w:space="0"/>
            </w:tcBorders>
          </w:tcPr>
          <w:p>
            <w:pPr>
              <w:jc w:val="center"/>
              <w:rPr>
                <w:rFonts w:ascii="华文中宋" w:hAnsi="华文中宋" w:eastAsia="华文中宋"/>
                <w:b/>
                <w:sz w:val="72"/>
                <w:szCs w:val="72"/>
                <w:highlight w:val="none"/>
              </w:rPr>
            </w:pPr>
          </w:p>
        </w:tc>
        <w:tc>
          <w:tcPr>
            <w:tcW w:w="7938" w:type="dxa"/>
            <w:gridSpan w:val="4"/>
            <w:tcBorders>
              <w:top w:val="single" w:color="auto" w:sz="4" w:space="0"/>
              <w:left w:val="single" w:color="auto" w:sz="4" w:space="0"/>
              <w:bottom w:val="single" w:color="auto" w:sz="4" w:space="0"/>
              <w:right w:val="nil"/>
            </w:tcBorders>
          </w:tcPr>
          <w:p>
            <w:pPr>
              <w:spacing w:line="720" w:lineRule="auto"/>
              <w:jc w:val="right"/>
              <w:rPr>
                <w:rFonts w:ascii="华文中宋" w:hAnsi="华文中宋" w:eastAsia="华文中宋"/>
                <w:b/>
                <w:sz w:val="44"/>
                <w:szCs w:val="44"/>
                <w:highlight w:val="none"/>
              </w:rPr>
            </w:pPr>
            <w:r>
              <w:rPr>
                <w:rFonts w:hint="eastAsia" w:ascii="华文中宋" w:hAnsi="华文中宋" w:eastAsia="华文中宋"/>
                <w:b/>
                <w:sz w:val="44"/>
                <w:szCs w:val="44"/>
                <w:highlight w:val="none"/>
              </w:rPr>
              <w:t>使用手册V1.0</w:t>
            </w: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tabs>
                <w:tab w:val="left" w:pos="912"/>
              </w:tabs>
              <w:spacing w:line="200" w:lineRule="exact"/>
              <w:rPr>
                <w:rFonts w:hint="eastAsia"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14" w:type="dxa"/>
            <w:gridSpan w:val="6"/>
            <w:tcBorders>
              <w:top w:val="single" w:color="auto" w:sz="4" w:space="0"/>
              <w:left w:val="nil"/>
              <w:bottom w:val="nil"/>
              <w:right w:val="nil"/>
            </w:tcBorders>
          </w:tcPr>
          <w:p>
            <w:pPr>
              <w:spacing w:line="560" w:lineRule="exact"/>
              <w:jc w:val="center"/>
              <w:rPr>
                <w:rFonts w:ascii="华文中宋" w:hAnsi="华文中宋" w:eastAsia="华文中宋"/>
                <w:b/>
                <w:sz w:val="30"/>
                <w:szCs w:val="30"/>
                <w:highlight w:val="none"/>
              </w:rPr>
            </w:pPr>
            <w:r>
              <w:rPr>
                <w:rFonts w:hint="eastAsia" w:ascii="华文中宋" w:hAnsi="华文中宋" w:eastAsia="华文中宋"/>
                <w:b/>
                <w:sz w:val="30"/>
                <w:szCs w:val="30"/>
                <w:highlight w:val="none"/>
              </w:rPr>
              <w:t>北京克必隆分子诊断技术有限公司</w:t>
            </w:r>
          </w:p>
          <w:p>
            <w:pPr>
              <w:spacing w:line="560" w:lineRule="exact"/>
              <w:jc w:val="center"/>
              <w:rPr>
                <w:rFonts w:hint="default" w:ascii="华文中宋" w:hAnsi="华文中宋" w:eastAsia="华文中宋"/>
                <w:b/>
                <w:sz w:val="28"/>
                <w:szCs w:val="28"/>
                <w:highlight w:val="none"/>
                <w:lang w:val="en-US" w:eastAsia="zh-CN"/>
              </w:rPr>
            </w:pPr>
            <w:r>
              <w:rPr>
                <w:rFonts w:hint="eastAsia" w:ascii="华文中宋" w:hAnsi="华文中宋" w:eastAsia="华文中宋"/>
                <w:b/>
                <w:sz w:val="28"/>
                <w:szCs w:val="28"/>
                <w:highlight w:val="none"/>
              </w:rPr>
              <w:t>北京市海淀区上地信息路</w:t>
            </w:r>
            <w:r>
              <w:rPr>
                <w:rFonts w:hint="eastAsia" w:ascii="华文中宋" w:hAnsi="华文中宋" w:eastAsia="华文中宋"/>
                <w:b/>
                <w:sz w:val="28"/>
                <w:szCs w:val="28"/>
                <w:highlight w:val="none"/>
                <w:lang w:val="en-US" w:eastAsia="zh-CN"/>
              </w:rPr>
              <w:t>国际创业园东区2号楼</w:t>
            </w:r>
          </w:p>
          <w:p>
            <w:pPr>
              <w:spacing w:line="560" w:lineRule="exact"/>
              <w:jc w:val="center"/>
              <w:rPr>
                <w:rFonts w:ascii="华文中宋" w:hAnsi="华文中宋" w:eastAsia="华文中宋"/>
                <w:b/>
                <w:sz w:val="28"/>
                <w:szCs w:val="28"/>
                <w:highlight w:val="none"/>
              </w:rPr>
            </w:pPr>
            <w:r>
              <w:rPr>
                <w:rFonts w:hint="eastAsia" w:ascii="华文中宋" w:hAnsi="华文中宋" w:eastAsia="华文中宋"/>
                <w:b/>
                <w:sz w:val="28"/>
                <w:szCs w:val="28"/>
                <w:highlight w:val="none"/>
              </w:rPr>
              <w:t>网址：</w:t>
            </w:r>
            <w:r>
              <w:rPr>
                <w:highlight w:val="none"/>
              </w:rPr>
              <w:fldChar w:fldCharType="begin"/>
            </w:r>
            <w:r>
              <w:rPr>
                <w:highlight w:val="none"/>
              </w:rPr>
              <w:instrText xml:space="preserve"> HYPERLINK "http://www.bingene.com" </w:instrText>
            </w:r>
            <w:r>
              <w:rPr>
                <w:highlight w:val="none"/>
              </w:rPr>
              <w:fldChar w:fldCharType="separate"/>
            </w:r>
            <w:r>
              <w:rPr>
                <w:rFonts w:hint="eastAsia" w:ascii="华文中宋" w:hAnsi="华文中宋" w:eastAsia="华文中宋"/>
                <w:b/>
                <w:sz w:val="28"/>
                <w:szCs w:val="28"/>
                <w:highlight w:val="none"/>
              </w:rPr>
              <w:t>www.bingene.com</w:t>
            </w:r>
            <w:r>
              <w:rPr>
                <w:rFonts w:hint="eastAsia" w:ascii="华文中宋" w:hAnsi="华文中宋" w:eastAsia="华文中宋"/>
                <w:b/>
                <w:sz w:val="28"/>
                <w:szCs w:val="28"/>
                <w:highlight w:val="none"/>
              </w:rPr>
              <w:fldChar w:fldCharType="end"/>
            </w:r>
            <w:r>
              <w:rPr>
                <w:rFonts w:hint="eastAsia" w:ascii="华文中宋" w:hAnsi="华文中宋" w:eastAsia="华文中宋"/>
                <w:b/>
                <w:sz w:val="28"/>
                <w:szCs w:val="28"/>
                <w:highlight w:val="none"/>
              </w:rPr>
              <w:t>；电话：400-</w:t>
            </w:r>
            <w:r>
              <w:rPr>
                <w:rFonts w:ascii="华文中宋" w:hAnsi="华文中宋" w:eastAsia="华文中宋"/>
                <w:b/>
                <w:sz w:val="28"/>
                <w:szCs w:val="28"/>
                <w:highlight w:val="none"/>
              </w:rPr>
              <w:t>6005850</w:t>
            </w:r>
            <w:r>
              <w:rPr>
                <w:rFonts w:hint="eastAsia" w:ascii="华文中宋" w:hAnsi="华文中宋" w:eastAsia="华文中宋"/>
                <w:b/>
                <w:sz w:val="28"/>
                <w:szCs w:val="28"/>
                <w:highlight w:val="none"/>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561" w:type="dxa"/>
          <w:wAfter w:w="173" w:type="dxa"/>
          <w:trHeight w:val="570" w:hRule="atLeast"/>
          <w:jc w:val="center"/>
        </w:trPr>
        <w:tc>
          <w:tcPr>
            <w:tcW w:w="1985" w:type="dxa"/>
            <w:gridSpan w:val="2"/>
          </w:tcPr>
          <w:p>
            <w:pPr>
              <w:spacing w:line="360" w:lineRule="auto"/>
              <w:jc w:val="right"/>
              <w:rPr>
                <w:rFonts w:ascii="华文中宋" w:hAnsi="华文中宋" w:eastAsia="华文中宋"/>
                <w:b/>
                <w:sz w:val="28"/>
                <w:szCs w:val="28"/>
                <w:highlight w:val="none"/>
              </w:rPr>
            </w:pPr>
            <w:r>
              <w:rPr>
                <w:rFonts w:hint="eastAsia" w:ascii="华文中宋" w:hAnsi="华文中宋" w:eastAsia="华文中宋"/>
                <w:b/>
                <w:sz w:val="28"/>
                <w:szCs w:val="28"/>
                <w:highlight w:val="none"/>
              </w:rPr>
              <w:t>产品及特点</w:t>
            </w:r>
          </w:p>
        </w:tc>
        <w:tc>
          <w:tcPr>
            <w:tcW w:w="7395" w:type="dxa"/>
            <w:gridSpan w:val="2"/>
          </w:tcPr>
          <w:p>
            <w:pPr>
              <w:pStyle w:val="5"/>
              <w:spacing w:before="0" w:beforeAutospacing="0" w:after="0" w:afterAutospacing="0" w:line="360" w:lineRule="auto"/>
              <w:ind w:firstLine="420" w:firstLineChars="200"/>
              <w:jc w:val="both"/>
              <w:rPr>
                <w:rFonts w:ascii="华文中宋" w:hAnsi="华文中宋" w:eastAsia="华文中宋"/>
                <w:color w:val="000000"/>
                <w:sz w:val="21"/>
                <w:szCs w:val="21"/>
                <w:highlight w:val="none"/>
              </w:rPr>
            </w:pPr>
            <w:r>
              <w:rPr>
                <w:rFonts w:hint="eastAsia" w:ascii="华文中宋" w:hAnsi="华文中宋" w:eastAsia="华文中宋"/>
                <w:color w:val="000000"/>
                <w:sz w:val="21"/>
                <w:szCs w:val="21"/>
                <w:highlight w:val="none"/>
              </w:rPr>
              <w:t>本试剂盒可用于检测</w:t>
            </w:r>
            <w:r>
              <w:rPr>
                <w:rFonts w:ascii="华文中宋" w:hAnsi="华文中宋" w:eastAsia="华文中宋"/>
                <w:color w:val="000000"/>
                <w:sz w:val="21"/>
                <w:szCs w:val="21"/>
                <w:highlight w:val="none"/>
              </w:rPr>
              <w:t>食品或其他</w:t>
            </w:r>
            <w:r>
              <w:rPr>
                <w:rFonts w:hint="eastAsia" w:ascii="华文中宋" w:hAnsi="华文中宋" w:eastAsia="华文中宋"/>
                <w:color w:val="000000"/>
                <w:sz w:val="21"/>
                <w:szCs w:val="21"/>
                <w:highlight w:val="none"/>
              </w:rPr>
              <w:t>材料</w:t>
            </w:r>
            <w:r>
              <w:rPr>
                <w:rFonts w:ascii="华文中宋" w:hAnsi="华文中宋" w:eastAsia="华文中宋"/>
                <w:color w:val="000000"/>
                <w:sz w:val="21"/>
                <w:szCs w:val="21"/>
                <w:highlight w:val="none"/>
              </w:rPr>
              <w:t>中</w:t>
            </w:r>
            <w:r>
              <w:rPr>
                <w:rFonts w:hint="eastAsia" w:ascii="华文中宋" w:hAnsi="华文中宋" w:eastAsia="华文中宋"/>
                <w:color w:val="000000"/>
                <w:sz w:val="21"/>
                <w:szCs w:val="21"/>
                <w:highlight w:val="none"/>
              </w:rPr>
              <w:t>是否</w:t>
            </w:r>
            <w:r>
              <w:rPr>
                <w:rFonts w:ascii="华文中宋" w:hAnsi="华文中宋" w:eastAsia="华文中宋"/>
                <w:color w:val="000000"/>
                <w:sz w:val="21"/>
                <w:szCs w:val="21"/>
                <w:highlight w:val="none"/>
              </w:rPr>
              <w:t>有</w:t>
            </w:r>
            <w:r>
              <w:rPr>
                <w:rFonts w:hint="eastAsia" w:ascii="华文中宋" w:hAnsi="华文中宋" w:eastAsia="华文中宋"/>
                <w:color w:val="000000"/>
                <w:sz w:val="21"/>
                <w:szCs w:val="21"/>
                <w:highlight w:val="none"/>
                <w:lang w:eastAsia="zh-CN"/>
              </w:rPr>
              <w:t>鸡</w:t>
            </w:r>
            <w:r>
              <w:rPr>
                <w:rFonts w:hint="eastAsia" w:ascii="华文中宋" w:hAnsi="华文中宋" w:eastAsia="华文中宋"/>
                <w:color w:val="000000"/>
                <w:sz w:val="21"/>
                <w:szCs w:val="21"/>
                <w:highlight w:val="none"/>
              </w:rPr>
              <w:t>的成分。现代食品加工工艺极大改变了食材原有的味道、气味、色泽、纹理和质地等特性，因此传统的感官鉴别技术已经无法对食材的真伪进行准确的鉴定。同时部分食材还有致敏性，因此基于基因检测的快速灵敏的食材来源检测技术将对食品监管和安全提供重要的保障。本</w:t>
            </w:r>
            <w:r>
              <w:rPr>
                <w:rFonts w:ascii="华文中宋" w:hAnsi="华文中宋" w:eastAsia="华文中宋"/>
                <w:color w:val="000000"/>
                <w:sz w:val="21"/>
                <w:szCs w:val="21"/>
                <w:highlight w:val="none"/>
              </w:rPr>
              <w:t>产品</w:t>
            </w:r>
            <w:r>
              <w:rPr>
                <w:rFonts w:hint="eastAsia" w:ascii="华文中宋" w:hAnsi="华文中宋" w:eastAsia="华文中宋"/>
                <w:color w:val="000000"/>
                <w:sz w:val="21"/>
                <w:szCs w:val="21"/>
                <w:highlight w:val="none"/>
              </w:rPr>
              <w:t>就是为满足这一需求根据</w:t>
            </w:r>
            <w:r>
              <w:rPr>
                <w:rFonts w:ascii="华文中宋" w:hAnsi="华文中宋" w:eastAsia="华文中宋"/>
                <w:color w:val="000000"/>
                <w:sz w:val="21"/>
                <w:szCs w:val="21"/>
                <w:highlight w:val="none"/>
              </w:rPr>
              <w:t>PCR原理开发</w:t>
            </w:r>
            <w:r>
              <w:rPr>
                <w:rFonts w:hint="eastAsia" w:ascii="华文中宋" w:hAnsi="华文中宋" w:eastAsia="华文中宋"/>
                <w:color w:val="000000"/>
                <w:sz w:val="21"/>
                <w:szCs w:val="21"/>
                <w:highlight w:val="none"/>
              </w:rPr>
              <w:t>的产品</w:t>
            </w:r>
            <w:r>
              <w:rPr>
                <w:rFonts w:ascii="华文中宋" w:hAnsi="华文中宋" w:eastAsia="华文中宋"/>
                <w:color w:val="000000"/>
                <w:sz w:val="21"/>
                <w:szCs w:val="21"/>
                <w:highlight w:val="none"/>
              </w:rPr>
              <w:t>，它</w:t>
            </w:r>
            <w:r>
              <w:rPr>
                <w:rFonts w:hint="eastAsia" w:ascii="华文中宋" w:hAnsi="华文中宋" w:eastAsia="华文中宋"/>
                <w:color w:val="000000"/>
                <w:sz w:val="21"/>
                <w:szCs w:val="21"/>
                <w:highlight w:val="none"/>
              </w:rPr>
              <w:t>具有下列特点：</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即开即用，用户只需要提供样品DNA</w:t>
            </w:r>
            <w:r>
              <w:rPr>
                <w:rFonts w:ascii="华文中宋" w:hAnsi="华文中宋" w:eastAsia="华文中宋"/>
                <w:szCs w:val="21"/>
                <w:highlight w:val="none"/>
              </w:rPr>
              <w:t>。</w:t>
            </w:r>
          </w:p>
          <w:p>
            <w:pPr>
              <w:pStyle w:val="5"/>
              <w:numPr>
                <w:ilvl w:val="0"/>
                <w:numId w:val="1"/>
              </w:numPr>
              <w:spacing w:before="0" w:beforeAutospacing="0" w:after="0" w:afterAutospacing="0" w:line="360" w:lineRule="auto"/>
              <w:jc w:val="both"/>
              <w:rPr>
                <w:rFonts w:ascii="华文中宋" w:hAnsi="华文中宋" w:eastAsia="华文中宋"/>
                <w:color w:val="000000"/>
                <w:sz w:val="21"/>
                <w:szCs w:val="21"/>
                <w:highlight w:val="none"/>
              </w:rPr>
            </w:pPr>
            <w:r>
              <w:rPr>
                <w:rFonts w:hint="eastAsia" w:ascii="华文中宋" w:hAnsi="华文中宋" w:eastAsia="华文中宋"/>
                <w:color w:val="000000"/>
                <w:sz w:val="21"/>
                <w:szCs w:val="21"/>
                <w:highlight w:val="none"/>
              </w:rPr>
              <w:t>根据</w:t>
            </w:r>
            <w:r>
              <w:rPr>
                <w:rFonts w:hint="eastAsia" w:ascii="华文中宋" w:hAnsi="华文中宋" w:eastAsia="华文中宋"/>
                <w:color w:val="000000"/>
                <w:sz w:val="21"/>
                <w:szCs w:val="21"/>
                <w:highlight w:val="none"/>
                <w:lang w:eastAsia="zh-CN"/>
              </w:rPr>
              <w:t>鸡</w:t>
            </w:r>
            <w:r>
              <w:rPr>
                <w:rFonts w:hint="eastAsia" w:ascii="华文中宋" w:hAnsi="华文中宋" w:eastAsia="华文中宋"/>
                <w:color w:val="000000"/>
                <w:sz w:val="21"/>
                <w:szCs w:val="21"/>
                <w:highlight w:val="none"/>
              </w:rPr>
              <w:t>保守区域</w:t>
            </w:r>
            <w:r>
              <w:rPr>
                <w:rFonts w:ascii="华文中宋" w:hAnsi="华文中宋" w:eastAsia="华文中宋"/>
                <w:color w:val="000000"/>
                <w:sz w:val="21"/>
                <w:szCs w:val="21"/>
                <w:highlight w:val="none"/>
              </w:rPr>
              <w:t>设计</w:t>
            </w:r>
            <w:r>
              <w:rPr>
                <w:rFonts w:hint="eastAsia" w:ascii="华文中宋" w:hAnsi="华文中宋" w:eastAsia="华文中宋"/>
                <w:color w:val="000000"/>
                <w:sz w:val="21"/>
                <w:szCs w:val="21"/>
                <w:highlight w:val="none"/>
              </w:rPr>
              <w:t>引物</w:t>
            </w:r>
            <w:r>
              <w:rPr>
                <w:rFonts w:ascii="华文中宋" w:hAnsi="华文中宋" w:eastAsia="华文中宋"/>
                <w:color w:val="000000"/>
                <w:sz w:val="21"/>
                <w:szCs w:val="21"/>
                <w:highlight w:val="none"/>
              </w:rPr>
              <w:t>，</w:t>
            </w:r>
            <w:r>
              <w:rPr>
                <w:rFonts w:hint="eastAsia" w:ascii="华文中宋" w:hAnsi="华文中宋" w:eastAsia="华文中宋"/>
                <w:color w:val="000000"/>
                <w:sz w:val="21"/>
                <w:szCs w:val="21"/>
                <w:highlight w:val="none"/>
              </w:rPr>
              <w:t>能专一性地检测出样品中的</w:t>
            </w:r>
            <w:r>
              <w:rPr>
                <w:rFonts w:hint="eastAsia" w:ascii="华文中宋" w:hAnsi="华文中宋" w:eastAsia="华文中宋"/>
                <w:color w:val="000000"/>
                <w:sz w:val="21"/>
                <w:szCs w:val="21"/>
                <w:highlight w:val="none"/>
                <w:lang w:eastAsia="zh-CN"/>
              </w:rPr>
              <w:t>鸡</w:t>
            </w:r>
            <w:r>
              <w:rPr>
                <w:rFonts w:hint="eastAsia" w:ascii="华文中宋" w:hAnsi="华文中宋" w:eastAsia="华文中宋"/>
                <w:color w:val="000000"/>
                <w:sz w:val="21"/>
                <w:szCs w:val="21"/>
                <w:highlight w:val="none"/>
              </w:rPr>
              <w:t>成分，但不能</w:t>
            </w:r>
            <w:r>
              <w:rPr>
                <w:rFonts w:ascii="华文中宋" w:hAnsi="华文中宋" w:eastAsia="华文中宋"/>
                <w:color w:val="000000"/>
                <w:sz w:val="21"/>
                <w:szCs w:val="21"/>
                <w:highlight w:val="none"/>
              </w:rPr>
              <w:t>检测其他非</w:t>
            </w:r>
            <w:r>
              <w:rPr>
                <w:rFonts w:hint="eastAsia" w:ascii="华文中宋" w:hAnsi="华文中宋" w:eastAsia="华文中宋"/>
                <w:color w:val="000000"/>
                <w:sz w:val="21"/>
                <w:szCs w:val="21"/>
                <w:highlight w:val="none"/>
                <w:lang w:eastAsia="zh-CN"/>
              </w:rPr>
              <w:t>鸡</w:t>
            </w:r>
            <w:r>
              <w:rPr>
                <w:rFonts w:hint="eastAsia" w:ascii="华文中宋" w:hAnsi="华文中宋" w:eastAsia="华文中宋"/>
                <w:color w:val="000000"/>
                <w:sz w:val="21"/>
                <w:szCs w:val="21"/>
                <w:highlight w:val="none"/>
              </w:rPr>
              <w:t>成分</w:t>
            </w:r>
            <w:r>
              <w:rPr>
                <w:rFonts w:ascii="华文中宋" w:hAnsi="华文中宋" w:eastAsia="华文中宋"/>
                <w:color w:val="000000"/>
                <w:sz w:val="21"/>
                <w:szCs w:val="21"/>
                <w:highlight w:val="none"/>
              </w:rPr>
              <w:t>。</w:t>
            </w:r>
          </w:p>
          <w:p>
            <w:pPr>
              <w:pStyle w:val="5"/>
              <w:numPr>
                <w:ilvl w:val="0"/>
                <w:numId w:val="1"/>
              </w:numPr>
              <w:spacing w:before="0" w:beforeAutospacing="0" w:after="0" w:afterAutospacing="0" w:line="360" w:lineRule="auto"/>
              <w:jc w:val="both"/>
              <w:rPr>
                <w:rFonts w:ascii="华文中宋" w:hAnsi="华文中宋" w:eastAsia="华文中宋"/>
                <w:color w:val="000000"/>
                <w:sz w:val="21"/>
                <w:szCs w:val="21"/>
                <w:highlight w:val="none"/>
              </w:rPr>
            </w:pPr>
            <w:r>
              <w:rPr>
                <w:rFonts w:hint="eastAsia" w:ascii="华文中宋" w:hAnsi="华文中宋" w:eastAsia="华文中宋"/>
                <w:color w:val="000000"/>
                <w:szCs w:val="21"/>
                <w:highlight w:val="none"/>
              </w:rPr>
              <w:t>比ELISA</w:t>
            </w:r>
            <w:r>
              <w:rPr>
                <w:rFonts w:ascii="华文中宋" w:hAnsi="华文中宋" w:eastAsia="华文中宋"/>
                <w:color w:val="000000"/>
                <w:szCs w:val="21"/>
                <w:highlight w:val="none"/>
              </w:rPr>
              <w:t>更加灵敏。</w:t>
            </w:r>
            <w:r>
              <w:rPr>
                <w:rFonts w:hint="eastAsia" w:ascii="华文中宋" w:hAnsi="华文中宋" w:eastAsia="华文中宋"/>
                <w:color w:val="000000"/>
                <w:sz w:val="21"/>
                <w:szCs w:val="21"/>
                <w:highlight w:val="none"/>
              </w:rPr>
              <w:t>对混合样品中</w:t>
            </w:r>
            <w:r>
              <w:rPr>
                <w:rFonts w:hint="eastAsia" w:ascii="华文中宋" w:hAnsi="华文中宋" w:eastAsia="华文中宋"/>
                <w:color w:val="000000"/>
                <w:sz w:val="21"/>
                <w:szCs w:val="21"/>
                <w:highlight w:val="none"/>
                <w:lang w:eastAsia="zh-CN"/>
              </w:rPr>
              <w:t>鸡</w:t>
            </w:r>
            <w:r>
              <w:rPr>
                <w:rFonts w:hint="eastAsia" w:ascii="华文中宋" w:hAnsi="华文中宋" w:eastAsia="华文中宋"/>
                <w:color w:val="000000"/>
                <w:sz w:val="21"/>
                <w:szCs w:val="21"/>
                <w:highlight w:val="none"/>
              </w:rPr>
              <w:t>成分的检测下限为0.1%，对样品中</w:t>
            </w:r>
            <w:r>
              <w:rPr>
                <w:rFonts w:hint="eastAsia" w:ascii="华文中宋" w:hAnsi="华文中宋" w:eastAsia="华文中宋"/>
                <w:color w:val="000000"/>
                <w:sz w:val="21"/>
                <w:szCs w:val="21"/>
                <w:highlight w:val="none"/>
                <w:lang w:eastAsia="zh-CN"/>
              </w:rPr>
              <w:t>鸡</w:t>
            </w:r>
            <w:r>
              <w:rPr>
                <w:rFonts w:hint="eastAsia" w:ascii="华文中宋" w:hAnsi="华文中宋" w:eastAsia="华文中宋"/>
                <w:color w:val="000000"/>
                <w:sz w:val="21"/>
                <w:szCs w:val="21"/>
                <w:highlight w:val="none"/>
              </w:rPr>
              <w:t>成分的核酸检测下限为 1.0ng/µL。</w:t>
            </w:r>
          </w:p>
          <w:p>
            <w:pPr>
              <w:pStyle w:val="5"/>
              <w:numPr>
                <w:ilvl w:val="0"/>
                <w:numId w:val="1"/>
              </w:numPr>
              <w:spacing w:before="0" w:beforeAutospacing="0" w:after="0" w:afterAutospacing="0" w:line="360" w:lineRule="auto"/>
              <w:jc w:val="both"/>
              <w:rPr>
                <w:rFonts w:ascii="华文中宋" w:hAnsi="华文中宋" w:eastAsia="华文中宋"/>
                <w:color w:val="000000"/>
                <w:sz w:val="21"/>
                <w:szCs w:val="21"/>
                <w:highlight w:val="none"/>
              </w:rPr>
            </w:pPr>
            <w:r>
              <w:rPr>
                <w:rFonts w:hint="eastAsia" w:ascii="华文中宋" w:hAnsi="华文中宋" w:eastAsia="华文中宋"/>
                <w:color w:val="000000"/>
                <w:sz w:val="21"/>
                <w:szCs w:val="21"/>
                <w:highlight w:val="none"/>
              </w:rPr>
              <w:t>快速，整个检测过程（按一个样品计）需2.0小时左右。</w:t>
            </w:r>
          </w:p>
          <w:p>
            <w:pPr>
              <w:numPr>
                <w:ilvl w:val="0"/>
                <w:numId w:val="1"/>
              </w:numPr>
              <w:spacing w:line="360" w:lineRule="auto"/>
              <w:rPr>
                <w:rFonts w:ascii="华文中宋" w:hAnsi="华文中宋" w:eastAsia="华文中宋" w:cs="宋体"/>
                <w:color w:val="000000"/>
                <w:kern w:val="0"/>
                <w:szCs w:val="21"/>
                <w:highlight w:val="none"/>
              </w:rPr>
            </w:pPr>
            <w:r>
              <w:rPr>
                <w:rFonts w:hint="eastAsia" w:ascii="华文中宋" w:hAnsi="华文中宋" w:eastAsia="华文中宋" w:cs="宋体"/>
                <w:color w:val="000000"/>
                <w:kern w:val="0"/>
                <w:szCs w:val="21"/>
                <w:highlight w:val="none"/>
              </w:rPr>
              <w:t>提供阳性标准品，便于分析实验结果。</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color w:val="000000"/>
                <w:szCs w:val="21"/>
                <w:highlight w:val="none"/>
              </w:rPr>
              <w:t>本产品</w:t>
            </w:r>
            <w:r>
              <w:rPr>
                <w:rFonts w:ascii="华文中宋" w:hAnsi="华文中宋" w:eastAsia="华文中宋"/>
                <w:color w:val="000000"/>
                <w:szCs w:val="21"/>
                <w:highlight w:val="none"/>
              </w:rPr>
              <w:t>足够</w:t>
            </w:r>
            <w:r>
              <w:rPr>
                <w:rFonts w:hint="eastAsia" w:ascii="华文中宋" w:hAnsi="华文中宋" w:eastAsia="华文中宋"/>
                <w:color w:val="000000"/>
                <w:szCs w:val="21"/>
                <w:highlight w:val="none"/>
              </w:rPr>
              <w:t>50次20</w:t>
            </w:r>
            <w:r>
              <w:rPr>
                <w:rFonts w:ascii="华文中宋" w:hAnsi="华文中宋" w:eastAsia="华文中宋"/>
                <w:color w:val="000000"/>
                <w:szCs w:val="21"/>
                <w:highlight w:val="none"/>
              </w:rPr>
              <w:t>μL体系的</w:t>
            </w:r>
            <w:r>
              <w:rPr>
                <w:rFonts w:hint="eastAsia" w:ascii="华文中宋" w:hAnsi="华文中宋" w:eastAsia="华文中宋"/>
                <w:color w:val="000000"/>
                <w:szCs w:val="21"/>
                <w:highlight w:val="none"/>
              </w:rPr>
              <w:t>常规</w:t>
            </w:r>
            <w:r>
              <w:rPr>
                <w:rFonts w:ascii="华文中宋" w:hAnsi="华文中宋" w:eastAsia="华文中宋"/>
                <w:color w:val="000000"/>
                <w:szCs w:val="21"/>
                <w:highlight w:val="none"/>
              </w:rPr>
              <w:t>PCR</w:t>
            </w:r>
            <w:r>
              <w:rPr>
                <w:rFonts w:hint="eastAsia" w:ascii="华文中宋" w:hAnsi="华文中宋" w:eastAsia="华文中宋"/>
                <w:color w:val="000000"/>
                <w:szCs w:val="21"/>
                <w:highlight w:val="none"/>
              </w:rPr>
              <w:t>检测</w:t>
            </w:r>
            <w:r>
              <w:rPr>
                <w:rFonts w:ascii="华文中宋" w:hAnsi="华文中宋" w:eastAsia="华文中宋"/>
                <w:color w:val="000000"/>
                <w:szCs w:val="21"/>
                <w:highlight w:val="none"/>
              </w:rPr>
              <w:t>。</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color w:val="000000"/>
                <w:szCs w:val="21"/>
                <w:highlight w:val="none"/>
              </w:rPr>
              <w:t>本</w:t>
            </w:r>
            <w:r>
              <w:rPr>
                <w:rFonts w:ascii="华文中宋" w:hAnsi="华文中宋" w:eastAsia="华文中宋"/>
                <w:color w:val="000000"/>
                <w:szCs w:val="21"/>
                <w:highlight w:val="none"/>
              </w:rPr>
              <w:t>只能用于科研。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561" w:type="dxa"/>
          <w:wAfter w:w="173" w:type="dxa"/>
          <w:trHeight w:val="2821" w:hRule="atLeast"/>
          <w:jc w:val="center"/>
        </w:trPr>
        <w:tc>
          <w:tcPr>
            <w:tcW w:w="1985" w:type="dxa"/>
            <w:gridSpan w:val="2"/>
          </w:tcPr>
          <w:p>
            <w:pPr>
              <w:spacing w:line="360" w:lineRule="auto"/>
              <w:jc w:val="right"/>
              <w:rPr>
                <w:rFonts w:ascii="华文中宋" w:hAnsi="华文中宋" w:eastAsia="华文中宋"/>
                <w:highlight w:val="none"/>
              </w:rPr>
            </w:pPr>
            <w:r>
              <w:rPr>
                <w:rFonts w:hint="eastAsia" w:ascii="华文中宋" w:hAnsi="华文中宋" w:eastAsia="华文中宋"/>
                <w:b/>
                <w:sz w:val="28"/>
                <w:szCs w:val="28"/>
                <w:highlight w:val="none"/>
              </w:rPr>
              <w:t>规格及成分</w:t>
            </w:r>
          </w:p>
        </w:tc>
        <w:tc>
          <w:tcPr>
            <w:tcW w:w="7395" w:type="dxa"/>
            <w:gridSpan w:val="2"/>
          </w:tcPr>
          <w:tbl>
            <w:tblPr>
              <w:tblStyle w:val="6"/>
              <w:tblW w:w="7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1763"/>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81" w:type="dxa"/>
                  <w:shd w:val="clear" w:color="auto" w:fill="auto"/>
                  <w:noWrap/>
                  <w:vAlign w:val="center"/>
                </w:tcPr>
                <w:p>
                  <w:pPr>
                    <w:spacing w:line="360" w:lineRule="auto"/>
                    <w:jc w:val="center"/>
                    <w:rPr>
                      <w:rFonts w:ascii="华文中宋" w:hAnsi="华文中宋" w:eastAsia="华文中宋"/>
                      <w:b/>
                      <w:bCs/>
                      <w:szCs w:val="21"/>
                      <w:highlight w:val="none"/>
                    </w:rPr>
                  </w:pPr>
                  <w:r>
                    <w:rPr>
                      <w:rFonts w:hint="eastAsia" w:ascii="华文中宋" w:hAnsi="华文中宋" w:eastAsia="华文中宋"/>
                      <w:b/>
                      <w:bCs/>
                      <w:szCs w:val="21"/>
                      <w:highlight w:val="none"/>
                    </w:rPr>
                    <w:t>成  份</w:t>
                  </w:r>
                </w:p>
              </w:tc>
              <w:tc>
                <w:tcPr>
                  <w:tcW w:w="1763" w:type="dxa"/>
                  <w:vAlign w:val="center"/>
                </w:tcPr>
                <w:p>
                  <w:pPr>
                    <w:jc w:val="center"/>
                    <w:rPr>
                      <w:rFonts w:ascii="华文中宋" w:hAnsi="华文中宋" w:eastAsia="华文中宋"/>
                      <w:b/>
                      <w:bCs/>
                      <w:szCs w:val="21"/>
                      <w:highlight w:val="none"/>
                    </w:rPr>
                  </w:pPr>
                  <w:r>
                    <w:rPr>
                      <w:rFonts w:hint="eastAsia" w:ascii="华文中宋" w:hAnsi="华文中宋" w:eastAsia="华文中宋"/>
                      <w:b/>
                      <w:bCs/>
                      <w:szCs w:val="21"/>
                      <w:highlight w:val="none"/>
                    </w:rPr>
                    <w:t>编号</w:t>
                  </w:r>
                </w:p>
              </w:tc>
              <w:tc>
                <w:tcPr>
                  <w:tcW w:w="2189" w:type="dxa"/>
                  <w:vAlign w:val="center"/>
                </w:tcPr>
                <w:p>
                  <w:pPr>
                    <w:jc w:val="center"/>
                    <w:rPr>
                      <w:rFonts w:ascii="华文中宋" w:hAnsi="华文中宋" w:eastAsia="华文中宋"/>
                      <w:b/>
                      <w:bCs/>
                      <w:szCs w:val="21"/>
                      <w:highlight w:val="none"/>
                    </w:rPr>
                  </w:pPr>
                  <w:r>
                    <w:rPr>
                      <w:rFonts w:hint="eastAsia" w:ascii="华文中宋" w:hAnsi="华文中宋" w:eastAsia="华文中宋"/>
                      <w:b/>
                      <w:bCs/>
                      <w:szCs w:val="21"/>
                      <w:highlight w:val="none"/>
                    </w:rPr>
                    <w:t>五孔</w:t>
                  </w:r>
                  <w:r>
                    <w:rPr>
                      <w:rFonts w:ascii="华文中宋" w:hAnsi="华文中宋" w:eastAsia="华文中宋"/>
                      <w:b/>
                      <w:bCs/>
                      <w:szCs w:val="21"/>
                      <w:highlight w:val="none"/>
                    </w:rPr>
                    <w:t>盒</w:t>
                  </w:r>
                  <w:r>
                    <w:rPr>
                      <w:rFonts w:hint="eastAsia" w:ascii="华文中宋" w:hAnsi="华文中宋" w:eastAsia="华文中宋"/>
                      <w:b/>
                      <w:bCs/>
                      <w:szCs w:val="21"/>
                      <w:highlight w:val="none"/>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81" w:type="dxa"/>
                  <w:shd w:val="clear" w:color="auto" w:fill="auto"/>
                  <w:noWrap/>
                  <w:vAlign w:val="center"/>
                </w:tcPr>
                <w:p>
                  <w:pPr>
                    <w:spacing w:line="240" w:lineRule="exact"/>
                    <w:jc w:val="center"/>
                    <w:rPr>
                      <w:rFonts w:ascii="华文中宋" w:hAnsi="华文中宋" w:eastAsia="华文中宋"/>
                      <w:bCs/>
                      <w:szCs w:val="21"/>
                      <w:highlight w:val="none"/>
                    </w:rPr>
                  </w:pPr>
                  <w:r>
                    <w:rPr>
                      <w:rFonts w:ascii="华文中宋" w:hAnsi="华文中宋" w:eastAsia="华文中宋"/>
                      <w:bCs/>
                      <w:szCs w:val="21"/>
                      <w:highlight w:val="none"/>
                    </w:rPr>
                    <w:t xml:space="preserve">PCR </w:t>
                  </w:r>
                  <w:r>
                    <w:rPr>
                      <w:rFonts w:hint="eastAsia" w:ascii="华文中宋" w:hAnsi="华文中宋" w:eastAsia="华文中宋"/>
                      <w:bCs/>
                      <w:szCs w:val="21"/>
                      <w:highlight w:val="none"/>
                    </w:rPr>
                    <w:t>M</w:t>
                  </w:r>
                  <w:r>
                    <w:rPr>
                      <w:rFonts w:ascii="华文中宋" w:hAnsi="华文中宋" w:eastAsia="华文中宋"/>
                      <w:bCs/>
                      <w:szCs w:val="21"/>
                      <w:highlight w:val="none"/>
                    </w:rPr>
                    <w:t>agic</w:t>
                  </w:r>
                  <w:r>
                    <w:rPr>
                      <w:rFonts w:hint="eastAsia" w:ascii="华文中宋" w:hAnsi="华文中宋" w:eastAsia="华文中宋"/>
                      <w:bCs/>
                      <w:szCs w:val="21"/>
                      <w:highlight w:val="none"/>
                    </w:rPr>
                    <w:t xml:space="preserve">Mix </w:t>
                  </w:r>
                  <w:r>
                    <w:rPr>
                      <w:rFonts w:ascii="华文中宋" w:hAnsi="华文中宋" w:eastAsia="华文中宋"/>
                      <w:bCs/>
                      <w:szCs w:val="21"/>
                      <w:highlight w:val="none"/>
                    </w:rPr>
                    <w:t>3</w:t>
                  </w:r>
                  <w:r>
                    <w:rPr>
                      <w:rFonts w:hint="eastAsia" w:ascii="华文中宋" w:hAnsi="华文中宋" w:eastAsia="华文中宋"/>
                      <w:bCs/>
                      <w:szCs w:val="21"/>
                      <w:highlight w:val="none"/>
                    </w:rPr>
                    <w:t>.0</w:t>
                  </w:r>
                </w:p>
              </w:tc>
              <w:tc>
                <w:tcPr>
                  <w:tcW w:w="1763" w:type="dxa"/>
                  <w:vAlign w:val="center"/>
                </w:tcPr>
                <w:p>
                  <w:pPr>
                    <w:spacing w:line="200" w:lineRule="exact"/>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90805</w:t>
                  </w:r>
                </w:p>
              </w:tc>
              <w:tc>
                <w:tcPr>
                  <w:tcW w:w="2189" w:type="dxa"/>
                  <w:vAlign w:val="center"/>
                </w:tcPr>
                <w:p>
                  <w:pPr>
                    <w:spacing w:line="200" w:lineRule="exact"/>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lang w:val="en-US" w:eastAsia="zh-CN"/>
                    </w:rPr>
                    <w:t>5</w:t>
                  </w:r>
                  <w:r>
                    <w:rPr>
                      <w:rFonts w:hint="eastAsia" w:ascii="华文中宋" w:hAnsi="华文中宋" w:eastAsia="华文中宋"/>
                      <w:bCs/>
                      <w:szCs w:val="21"/>
                      <w:highlight w:val="none"/>
                    </w:rPr>
                    <w:t>00μL（</w:t>
                  </w:r>
                  <w:r>
                    <w:rPr>
                      <w:rFonts w:hint="eastAsia" w:ascii="华文中宋" w:hAnsi="华文中宋" w:eastAsia="华文中宋"/>
                      <w:bCs/>
                      <w:szCs w:val="21"/>
                      <w:highlight w:val="none"/>
                      <w:lang w:val="en-US" w:eastAsia="zh-CN"/>
                    </w:rPr>
                    <w:t>红</w:t>
                  </w:r>
                  <w:r>
                    <w:rPr>
                      <w:rFonts w:ascii="华文中宋" w:hAnsi="华文中宋" w:eastAsia="华文中宋"/>
                      <w:bCs/>
                      <w:szCs w:val="21"/>
                      <w:highlight w:val="none"/>
                    </w:rPr>
                    <w:t>盖</w:t>
                  </w:r>
                  <w:r>
                    <w:rPr>
                      <w:rFonts w:hint="eastAsia" w:ascii="华文中宋" w:hAnsi="华文中宋" w:eastAsia="华文中宋"/>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81" w:type="dxa"/>
                  <w:shd w:val="clear" w:color="auto" w:fill="auto"/>
                  <w:noWrap/>
                  <w:vAlign w:val="center"/>
                </w:tcPr>
                <w:p>
                  <w:pPr>
                    <w:spacing w:line="360" w:lineRule="auto"/>
                    <w:jc w:val="center"/>
                    <w:rPr>
                      <w:rFonts w:ascii="华文中宋" w:hAnsi="华文中宋" w:eastAsia="华文中宋"/>
                      <w:bCs/>
                      <w:szCs w:val="21"/>
                      <w:highlight w:val="none"/>
                    </w:rPr>
                  </w:pPr>
                  <w:r>
                    <w:rPr>
                      <w:rFonts w:hint="eastAsia" w:ascii="华文中宋" w:hAnsi="华文中宋" w:eastAsia="华文中宋"/>
                      <w:bCs/>
                      <w:szCs w:val="21"/>
                      <w:highlight w:val="none"/>
                    </w:rPr>
                    <w:t>超纯水</w:t>
                  </w:r>
                </w:p>
              </w:tc>
              <w:tc>
                <w:tcPr>
                  <w:tcW w:w="1763" w:type="dxa"/>
                  <w:vAlign w:val="center"/>
                </w:tcPr>
                <w:p>
                  <w:pPr>
                    <w:spacing w:line="360" w:lineRule="auto"/>
                    <w:jc w:val="center"/>
                    <w:rPr>
                      <w:rFonts w:ascii="华文中宋" w:hAnsi="华文中宋" w:eastAsia="华文中宋"/>
                      <w:bCs/>
                      <w:szCs w:val="21"/>
                      <w:highlight w:val="none"/>
                    </w:rPr>
                  </w:pPr>
                  <w:r>
                    <w:rPr>
                      <w:rFonts w:hint="eastAsia" w:ascii="华文中宋" w:hAnsi="华文中宋" w:eastAsia="华文中宋"/>
                      <w:bCs/>
                      <w:szCs w:val="21"/>
                      <w:highlight w:val="none"/>
                    </w:rPr>
                    <w:t>100935</w:t>
                  </w:r>
                </w:p>
              </w:tc>
              <w:tc>
                <w:tcPr>
                  <w:tcW w:w="2189" w:type="dxa"/>
                  <w:vAlign w:val="center"/>
                </w:tcPr>
                <w:p>
                  <w:pPr>
                    <w:spacing w:line="360" w:lineRule="auto"/>
                    <w:jc w:val="center"/>
                    <w:rPr>
                      <w:rFonts w:ascii="华文中宋" w:hAnsi="华文中宋" w:eastAsia="华文中宋"/>
                      <w:bCs/>
                      <w:szCs w:val="21"/>
                      <w:highlight w:val="none"/>
                    </w:rPr>
                  </w:pPr>
                  <w:r>
                    <w:rPr>
                      <w:rFonts w:hint="eastAsia" w:ascii="华文中宋" w:hAnsi="华文中宋" w:eastAsia="华文中宋"/>
                      <w:bCs/>
                      <w:szCs w:val="21"/>
                      <w:highlight w:val="none"/>
                    </w:rPr>
                    <w:t>1mL（</w:t>
                  </w:r>
                  <w:r>
                    <w:rPr>
                      <w:rFonts w:hint="eastAsia" w:ascii="华文中宋" w:hAnsi="华文中宋" w:eastAsia="华文中宋"/>
                      <w:bCs/>
                      <w:szCs w:val="21"/>
                      <w:highlight w:val="none"/>
                      <w:lang w:val="en-US" w:eastAsia="zh-CN"/>
                    </w:rPr>
                    <w:t>紫</w:t>
                  </w:r>
                  <w:r>
                    <w:rPr>
                      <w:rFonts w:hint="eastAsia" w:ascii="华文中宋" w:hAnsi="华文中宋" w:eastAsia="华文中宋"/>
                      <w:bCs/>
                      <w:szCs w:val="21"/>
                      <w:highlight w:val="none"/>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81" w:type="dxa"/>
                  <w:shd w:val="clear" w:color="auto" w:fill="auto"/>
                  <w:noWrap/>
                  <w:vAlign w:val="center"/>
                </w:tcPr>
                <w:p>
                  <w:pPr>
                    <w:spacing w:line="240" w:lineRule="exact"/>
                    <w:jc w:val="center"/>
                    <w:rPr>
                      <w:rFonts w:ascii="华文中宋" w:hAnsi="华文中宋" w:eastAsia="华文中宋"/>
                      <w:bCs/>
                      <w:szCs w:val="21"/>
                      <w:highlight w:val="none"/>
                    </w:rPr>
                  </w:pPr>
                  <w:r>
                    <w:rPr>
                      <w:rFonts w:hint="eastAsia" w:ascii="华文中宋" w:hAnsi="华文中宋" w:eastAsia="华文中宋"/>
                      <w:color w:val="000000"/>
                      <w:szCs w:val="21"/>
                      <w:highlight w:val="none"/>
                      <w:lang w:eastAsia="zh-CN"/>
                    </w:rPr>
                    <w:t>鸡</w:t>
                  </w:r>
                  <w:r>
                    <w:rPr>
                      <w:rFonts w:hint="eastAsia" w:ascii="华文中宋" w:hAnsi="华文中宋" w:eastAsia="华文中宋"/>
                      <w:color w:val="000000"/>
                      <w:szCs w:val="21"/>
                      <w:highlight w:val="none"/>
                    </w:rPr>
                    <w:t>源</w:t>
                  </w:r>
                  <w:r>
                    <w:rPr>
                      <w:rFonts w:ascii="华文中宋" w:hAnsi="华文中宋" w:eastAsia="华文中宋"/>
                      <w:color w:val="000000"/>
                      <w:szCs w:val="21"/>
                      <w:highlight w:val="none"/>
                    </w:rPr>
                    <w:t>性成分</w:t>
                  </w:r>
                  <w:r>
                    <w:rPr>
                      <w:rFonts w:ascii="华文中宋" w:hAnsi="华文中宋" w:eastAsia="华文中宋"/>
                      <w:color w:val="000000"/>
                      <w:szCs w:val="21"/>
                      <w:highlight w:val="none"/>
                    </w:rPr>
                    <w:t>PCR</w:t>
                  </w:r>
                  <w:r>
                    <w:rPr>
                      <w:rFonts w:hint="eastAsia" w:ascii="华文中宋" w:hAnsi="华文中宋" w:eastAsia="华文中宋"/>
                      <w:color w:val="000000"/>
                      <w:szCs w:val="21"/>
                      <w:highlight w:val="none"/>
                    </w:rPr>
                    <w:t>引物</w:t>
                  </w:r>
                  <w:r>
                    <w:rPr>
                      <w:rFonts w:ascii="华文中宋" w:hAnsi="华文中宋" w:eastAsia="华文中宋"/>
                      <w:color w:val="000000"/>
                      <w:szCs w:val="21"/>
                      <w:highlight w:val="none"/>
                    </w:rPr>
                    <w:t>混合液</w:t>
                  </w:r>
                </w:p>
              </w:tc>
              <w:tc>
                <w:tcPr>
                  <w:tcW w:w="1763" w:type="dxa"/>
                  <w:vAlign w:val="center"/>
                </w:tcPr>
                <w:p>
                  <w:pPr>
                    <w:spacing w:line="240" w:lineRule="atLeast"/>
                    <w:ind w:right="-34" w:rightChars="-16"/>
                    <w:jc w:val="center"/>
                    <w:rPr>
                      <w:rFonts w:hint="eastAsia" w:ascii="华文中宋" w:hAnsi="华文中宋" w:eastAsia="华文中宋"/>
                      <w:bCs/>
                      <w:szCs w:val="21"/>
                      <w:highlight w:val="none"/>
                      <w:lang w:eastAsia="zh-CN"/>
                    </w:rPr>
                  </w:pPr>
                  <w:r>
                    <w:rPr>
                      <w:rFonts w:hint="eastAsia" w:ascii="华文中宋" w:hAnsi="华文中宋" w:eastAsia="华文中宋"/>
                      <w:bCs/>
                      <w:szCs w:val="21"/>
                      <w:highlight w:val="none"/>
                    </w:rPr>
                    <w:t>yw</w:t>
                  </w:r>
                  <w:r>
                    <w:rPr>
                      <w:rFonts w:ascii="华文中宋" w:hAnsi="华文中宋" w:eastAsia="华文中宋"/>
                      <w:bCs/>
                      <w:szCs w:val="21"/>
                      <w:highlight w:val="none"/>
                    </w:rPr>
                    <w:t>13-</w:t>
                  </w:r>
                  <w:r>
                    <w:rPr>
                      <w:rFonts w:hint="eastAsia" w:ascii="华文中宋" w:hAnsi="华文中宋" w:eastAsia="华文中宋"/>
                      <w:bCs/>
                      <w:szCs w:val="21"/>
                      <w:highlight w:val="none"/>
                      <w:lang w:eastAsia="zh-CN"/>
                    </w:rPr>
                    <w:t>110</w:t>
                  </w:r>
                </w:p>
              </w:tc>
              <w:tc>
                <w:tcPr>
                  <w:tcW w:w="2189" w:type="dxa"/>
                  <w:vAlign w:val="center"/>
                </w:tcPr>
                <w:p>
                  <w:pPr>
                    <w:spacing w:line="240" w:lineRule="atLeast"/>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100μL（白</w:t>
                  </w:r>
                  <w:r>
                    <w:rPr>
                      <w:rFonts w:ascii="华文中宋" w:hAnsi="华文中宋" w:eastAsia="华文中宋"/>
                      <w:bCs/>
                      <w:szCs w:val="21"/>
                      <w:highlight w:val="none"/>
                    </w:rPr>
                    <w:t>盖</w:t>
                  </w:r>
                  <w:r>
                    <w:rPr>
                      <w:rFonts w:hint="eastAsia" w:ascii="华文中宋" w:hAnsi="华文中宋" w:eastAsia="华文中宋"/>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81" w:type="dxa"/>
                  <w:shd w:val="clear" w:color="auto" w:fill="auto"/>
                  <w:noWrap/>
                  <w:vAlign w:val="center"/>
                </w:tcPr>
                <w:p>
                  <w:pPr>
                    <w:spacing w:line="240" w:lineRule="exact"/>
                    <w:jc w:val="center"/>
                    <w:rPr>
                      <w:rFonts w:ascii="华文中宋" w:hAnsi="华文中宋" w:eastAsia="华文中宋"/>
                      <w:color w:val="000000"/>
                      <w:szCs w:val="21"/>
                      <w:highlight w:val="none"/>
                    </w:rPr>
                  </w:pPr>
                  <w:r>
                    <w:rPr>
                      <w:rFonts w:hint="eastAsia" w:ascii="华文中宋" w:hAnsi="华文中宋" w:eastAsia="华文中宋"/>
                      <w:color w:val="000000"/>
                      <w:szCs w:val="21"/>
                      <w:highlight w:val="none"/>
                      <w:lang w:eastAsia="zh-CN"/>
                    </w:rPr>
                    <w:t>鸡</w:t>
                  </w:r>
                  <w:r>
                    <w:rPr>
                      <w:rFonts w:hint="eastAsia" w:ascii="华文中宋" w:hAnsi="华文中宋" w:eastAsia="华文中宋"/>
                      <w:color w:val="000000"/>
                      <w:szCs w:val="21"/>
                      <w:highlight w:val="none"/>
                    </w:rPr>
                    <w:t>源</w:t>
                  </w:r>
                  <w:r>
                    <w:rPr>
                      <w:rFonts w:ascii="华文中宋" w:hAnsi="华文中宋" w:eastAsia="华文中宋"/>
                      <w:color w:val="000000"/>
                      <w:szCs w:val="21"/>
                      <w:highlight w:val="none"/>
                    </w:rPr>
                    <w:t>性成分</w:t>
                  </w:r>
                  <w:r>
                    <w:rPr>
                      <w:rFonts w:ascii="华文中宋" w:hAnsi="华文中宋" w:eastAsia="华文中宋"/>
                      <w:color w:val="000000"/>
                      <w:szCs w:val="21"/>
                      <w:highlight w:val="none"/>
                    </w:rPr>
                    <w:t>PCR</w:t>
                  </w:r>
                  <w:r>
                    <w:rPr>
                      <w:rFonts w:hint="eastAsia" w:ascii="华文中宋" w:hAnsi="华文中宋" w:eastAsia="华文中宋"/>
                      <w:color w:val="000000"/>
                      <w:szCs w:val="21"/>
                      <w:highlight w:val="none"/>
                    </w:rPr>
                    <w:t>阳性对照</w:t>
                  </w:r>
                </w:p>
                <w:p>
                  <w:pPr>
                    <w:spacing w:line="240" w:lineRule="exact"/>
                    <w:jc w:val="center"/>
                    <w:rPr>
                      <w:rFonts w:hint="eastAsia" w:ascii="华文中宋" w:hAnsi="华文中宋" w:eastAsia="华文中宋"/>
                      <w:bCs/>
                      <w:szCs w:val="21"/>
                      <w:highlight w:val="none"/>
                    </w:rPr>
                  </w:pPr>
                  <w:r>
                    <w:rPr>
                      <w:rFonts w:hint="eastAsia" w:ascii="华文中宋" w:hAnsi="华文中宋" w:eastAsia="华文中宋"/>
                      <w:bCs/>
                      <w:szCs w:val="21"/>
                      <w:highlight w:val="none"/>
                    </w:rPr>
                    <w:t>（1×10E</w:t>
                  </w:r>
                  <w:r>
                    <w:rPr>
                      <w:rFonts w:ascii="华文中宋" w:hAnsi="华文中宋" w:eastAsia="华文中宋"/>
                      <w:bCs/>
                      <w:szCs w:val="21"/>
                      <w:highlight w:val="none"/>
                    </w:rPr>
                    <w:t>7</w:t>
                  </w:r>
                  <w:r>
                    <w:rPr>
                      <w:rFonts w:hint="eastAsia" w:ascii="华文中宋" w:hAnsi="华文中宋" w:eastAsia="华文中宋"/>
                      <w:bCs/>
                      <w:szCs w:val="21"/>
                      <w:highlight w:val="none"/>
                    </w:rPr>
                    <w:t>拷贝/</w:t>
                  </w:r>
                  <w:r>
                    <w:rPr>
                      <w:rFonts w:hint="eastAsia" w:ascii="华文中宋" w:hAnsi="华文中宋" w:eastAsia="华文中宋"/>
                      <w:szCs w:val="21"/>
                      <w:highlight w:val="none"/>
                    </w:rPr>
                    <w:t>μL</w:t>
                  </w:r>
                  <w:r>
                    <w:rPr>
                      <w:rFonts w:ascii="华文中宋" w:hAnsi="华文中宋" w:eastAsia="华文中宋"/>
                      <w:szCs w:val="21"/>
                      <w:highlight w:val="none"/>
                    </w:rPr>
                    <w:t>）</w:t>
                  </w:r>
                </w:p>
              </w:tc>
              <w:tc>
                <w:tcPr>
                  <w:tcW w:w="1763" w:type="dxa"/>
                  <w:vAlign w:val="center"/>
                </w:tcPr>
                <w:p>
                  <w:pPr>
                    <w:spacing w:line="240" w:lineRule="atLeast"/>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pc</w:t>
                  </w:r>
                  <w:r>
                    <w:rPr>
                      <w:rFonts w:hint="eastAsia" w:ascii="华文中宋" w:hAnsi="华文中宋" w:eastAsia="华文中宋"/>
                      <w:bCs/>
                      <w:szCs w:val="21"/>
                      <w:highlight w:val="none"/>
                      <w:lang w:eastAsia="zh-CN"/>
                    </w:rPr>
                    <w:t>110</w:t>
                  </w:r>
                </w:p>
              </w:tc>
              <w:tc>
                <w:tcPr>
                  <w:tcW w:w="2189" w:type="dxa"/>
                  <w:vAlign w:val="center"/>
                </w:tcPr>
                <w:p>
                  <w:pPr>
                    <w:spacing w:line="240" w:lineRule="atLeast"/>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50μL（黄</w:t>
                  </w:r>
                  <w:r>
                    <w:rPr>
                      <w:rFonts w:ascii="华文中宋" w:hAnsi="华文中宋" w:eastAsia="华文中宋"/>
                      <w:bCs/>
                      <w:szCs w:val="21"/>
                      <w:highlight w:val="none"/>
                    </w:rPr>
                    <w:t>盖</w:t>
                  </w:r>
                  <w:r>
                    <w:rPr>
                      <w:rFonts w:hint="eastAsia" w:ascii="华文中宋" w:hAnsi="华文中宋" w:eastAsia="华文中宋"/>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81" w:type="dxa"/>
                  <w:shd w:val="clear" w:color="auto" w:fill="auto"/>
                  <w:noWrap/>
                  <w:vAlign w:val="center"/>
                </w:tcPr>
                <w:p>
                  <w:pPr>
                    <w:spacing w:line="360" w:lineRule="auto"/>
                    <w:jc w:val="center"/>
                    <w:rPr>
                      <w:rFonts w:ascii="华文中宋" w:hAnsi="华文中宋" w:eastAsia="华文中宋"/>
                      <w:bCs/>
                      <w:szCs w:val="21"/>
                      <w:highlight w:val="none"/>
                    </w:rPr>
                  </w:pPr>
                  <w:r>
                    <w:rPr>
                      <w:rFonts w:ascii="华文中宋" w:hAnsi="华文中宋" w:eastAsia="华文中宋"/>
                      <w:bCs/>
                      <w:szCs w:val="21"/>
                      <w:highlight w:val="none"/>
                    </w:rPr>
                    <w:t>使用手册</w:t>
                  </w:r>
                </w:p>
              </w:tc>
              <w:tc>
                <w:tcPr>
                  <w:tcW w:w="1763" w:type="dxa"/>
                  <w:vAlign w:val="center"/>
                </w:tcPr>
                <w:p>
                  <w:pPr>
                    <w:spacing w:line="360" w:lineRule="auto"/>
                    <w:jc w:val="center"/>
                    <w:rPr>
                      <w:rFonts w:ascii="华文中宋" w:hAnsi="华文中宋" w:eastAsia="华文中宋"/>
                      <w:bCs/>
                      <w:szCs w:val="21"/>
                      <w:highlight w:val="none"/>
                    </w:rPr>
                  </w:pPr>
                  <w:r>
                    <w:rPr>
                      <w:rFonts w:hint="eastAsia" w:ascii="华文中宋" w:hAnsi="华文中宋" w:eastAsia="华文中宋"/>
                      <w:bCs/>
                      <w:szCs w:val="21"/>
                      <w:highlight w:val="none"/>
                    </w:rPr>
                    <w:t>13-</w:t>
                  </w:r>
                  <w:r>
                    <w:rPr>
                      <w:rFonts w:hint="eastAsia" w:ascii="华文中宋" w:hAnsi="华文中宋" w:eastAsia="华文中宋"/>
                      <w:bCs/>
                      <w:szCs w:val="21"/>
                      <w:highlight w:val="none"/>
                      <w:lang w:eastAsia="zh-CN"/>
                    </w:rPr>
                    <w:t>110</w:t>
                  </w:r>
                  <w:r>
                    <w:rPr>
                      <w:rFonts w:ascii="华文中宋" w:hAnsi="华文中宋" w:eastAsia="华文中宋"/>
                      <w:bCs/>
                      <w:szCs w:val="21"/>
                      <w:highlight w:val="none"/>
                    </w:rPr>
                    <w:t>sc</w:t>
                  </w:r>
                </w:p>
              </w:tc>
              <w:tc>
                <w:tcPr>
                  <w:tcW w:w="2189" w:type="dxa"/>
                  <w:vAlign w:val="center"/>
                </w:tcPr>
                <w:p>
                  <w:pPr>
                    <w:spacing w:line="360" w:lineRule="auto"/>
                    <w:jc w:val="center"/>
                    <w:rPr>
                      <w:rFonts w:ascii="华文中宋" w:hAnsi="华文中宋" w:eastAsia="华文中宋"/>
                      <w:bCs/>
                      <w:szCs w:val="21"/>
                      <w:highlight w:val="none"/>
                    </w:rPr>
                  </w:pPr>
                  <w:r>
                    <w:rPr>
                      <w:rFonts w:ascii="华文中宋" w:hAnsi="华文中宋" w:eastAsia="华文中宋"/>
                      <w:bCs/>
                      <w:szCs w:val="21"/>
                      <w:highlight w:val="none"/>
                    </w:rPr>
                    <w:t>1份</w:t>
                  </w:r>
                </w:p>
              </w:tc>
            </w:tr>
          </w:tbl>
          <w:p>
            <w:pPr>
              <w:spacing w:line="360" w:lineRule="auto"/>
              <w:rPr>
                <w:rFonts w:ascii="华文中宋" w:hAnsi="华文中宋" w:eastAsia="华文中宋"/>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561" w:type="dxa"/>
          <w:wAfter w:w="173" w:type="dxa"/>
          <w:trHeight w:val="453" w:hRule="atLeast"/>
          <w:jc w:val="center"/>
        </w:trPr>
        <w:tc>
          <w:tcPr>
            <w:tcW w:w="1985" w:type="dxa"/>
            <w:gridSpan w:val="2"/>
          </w:tcPr>
          <w:p>
            <w:pPr>
              <w:spacing w:line="360" w:lineRule="auto"/>
              <w:jc w:val="right"/>
              <w:rPr>
                <w:rFonts w:ascii="华文中宋" w:hAnsi="华文中宋" w:eastAsia="华文中宋"/>
                <w:highlight w:val="none"/>
              </w:rPr>
            </w:pPr>
            <w:r>
              <w:rPr>
                <w:rFonts w:hint="eastAsia" w:ascii="华文中宋" w:hAnsi="华文中宋" w:eastAsia="华文中宋"/>
                <w:b/>
                <w:sz w:val="28"/>
                <w:szCs w:val="28"/>
                <w:highlight w:val="none"/>
              </w:rPr>
              <w:t>运输及保存</w:t>
            </w:r>
          </w:p>
        </w:tc>
        <w:tc>
          <w:tcPr>
            <w:tcW w:w="7395" w:type="dxa"/>
            <w:gridSpan w:val="2"/>
            <w:vAlign w:val="center"/>
          </w:tcPr>
          <w:p>
            <w:pPr>
              <w:spacing w:line="360" w:lineRule="auto"/>
              <w:rPr>
                <w:rFonts w:ascii="华文中宋" w:hAnsi="华文中宋" w:eastAsia="华文中宋"/>
                <w:b/>
                <w:spacing w:val="-20"/>
                <w:szCs w:val="21"/>
                <w:highlight w:val="none"/>
              </w:rPr>
            </w:pPr>
            <w:r>
              <w:rPr>
                <w:rFonts w:hint="eastAsia" w:ascii="华文中宋" w:hAnsi="华文中宋" w:eastAsia="华文中宋"/>
                <w:szCs w:val="21"/>
                <w:highlight w:val="none"/>
              </w:rPr>
              <w:t>低温运输，-20℃</w:t>
            </w:r>
            <w:r>
              <w:rPr>
                <w:rFonts w:ascii="华文中宋" w:hAnsi="华文中宋" w:eastAsia="华文中宋"/>
                <w:szCs w:val="21"/>
                <w:highlight w:val="none"/>
              </w:rPr>
              <w:t>保存，保存期限为</w:t>
            </w:r>
            <w:r>
              <w:rPr>
                <w:rFonts w:hint="eastAsia" w:ascii="华文中宋" w:hAnsi="华文中宋" w:eastAsia="华文中宋"/>
                <w:szCs w:val="21"/>
                <w:highlight w:val="none"/>
              </w:rPr>
              <w:t>一年</w:t>
            </w:r>
            <w:r>
              <w:rPr>
                <w:rFonts w:ascii="华文中宋" w:hAnsi="华文中宋" w:eastAsia="华文中宋"/>
                <w:szCs w:val="21"/>
                <w:highlight w:val="none"/>
              </w:rPr>
              <w:t>。</w:t>
            </w:r>
            <w:r>
              <w:rPr>
                <w:rFonts w:hint="eastAsia" w:ascii="华文中宋" w:hAnsi="华文中宋" w:eastAsia="华文中宋"/>
                <w:bCs/>
                <w:szCs w:val="21"/>
                <w:highlight w:val="none"/>
              </w:rPr>
              <w:t>阳性</w:t>
            </w:r>
            <w:r>
              <w:rPr>
                <w:rFonts w:ascii="华文中宋" w:hAnsi="华文中宋" w:eastAsia="华文中宋"/>
                <w:bCs/>
                <w:szCs w:val="21"/>
                <w:highlight w:val="none"/>
              </w:rPr>
              <w:t>对照</w:t>
            </w:r>
            <w:r>
              <w:rPr>
                <w:rFonts w:hint="eastAsia" w:ascii="华文中宋" w:hAnsi="华文中宋" w:eastAsia="华文中宋"/>
                <w:bCs/>
                <w:szCs w:val="21"/>
                <w:highlight w:val="none"/>
              </w:rPr>
              <w:t>需要</w:t>
            </w:r>
            <w:r>
              <w:rPr>
                <w:rFonts w:ascii="华文中宋" w:hAnsi="华文中宋" w:eastAsia="华文中宋"/>
                <w:bCs/>
                <w:szCs w:val="21"/>
                <w:highlight w:val="none"/>
              </w:rPr>
              <w:t>单独放置，不要污染其他试剂。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561" w:type="dxa"/>
          <w:wAfter w:w="173" w:type="dxa"/>
          <w:trHeight w:val="533" w:hRule="atLeast"/>
          <w:jc w:val="center"/>
        </w:trPr>
        <w:tc>
          <w:tcPr>
            <w:tcW w:w="1985" w:type="dxa"/>
            <w:gridSpan w:val="2"/>
          </w:tcPr>
          <w:p>
            <w:pPr>
              <w:spacing w:line="360" w:lineRule="auto"/>
              <w:jc w:val="right"/>
              <w:rPr>
                <w:rFonts w:ascii="华文中宋" w:hAnsi="华文中宋" w:eastAsia="华文中宋"/>
                <w:b/>
                <w:sz w:val="28"/>
                <w:szCs w:val="28"/>
                <w:highlight w:val="none"/>
              </w:rPr>
            </w:pPr>
            <w:r>
              <w:rPr>
                <w:rFonts w:hint="eastAsia" w:ascii="华文中宋" w:hAnsi="华文中宋" w:eastAsia="华文中宋"/>
                <w:b/>
                <w:sz w:val="28"/>
                <w:szCs w:val="28"/>
                <w:highlight w:val="none"/>
              </w:rPr>
              <w:t>自备试剂</w:t>
            </w:r>
          </w:p>
        </w:tc>
        <w:tc>
          <w:tcPr>
            <w:tcW w:w="7395" w:type="dxa"/>
            <w:gridSpan w:val="2"/>
            <w:vAlign w:val="center"/>
          </w:tcPr>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样品DNA</w:t>
            </w:r>
            <w:r>
              <w:rPr>
                <w:rFonts w:ascii="华文中宋" w:hAnsi="华文中宋" w:eastAsia="华文中宋"/>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561" w:type="dxa"/>
          <w:wAfter w:w="173" w:type="dxa"/>
          <w:trHeight w:val="2482" w:hRule="atLeast"/>
          <w:jc w:val="center"/>
        </w:trPr>
        <w:tc>
          <w:tcPr>
            <w:tcW w:w="1985" w:type="dxa"/>
            <w:gridSpan w:val="2"/>
          </w:tcPr>
          <w:p>
            <w:pPr>
              <w:spacing w:line="360" w:lineRule="auto"/>
              <w:jc w:val="right"/>
              <w:rPr>
                <w:rFonts w:ascii="华文中宋" w:hAnsi="华文中宋" w:eastAsia="华文中宋"/>
                <w:highlight w:val="none"/>
              </w:rPr>
            </w:pPr>
            <w:r>
              <w:rPr>
                <w:rFonts w:hint="eastAsia" w:ascii="华文中宋" w:hAnsi="华文中宋" w:eastAsia="华文中宋"/>
                <w:b/>
                <w:sz w:val="28"/>
                <w:szCs w:val="28"/>
                <w:highlight w:val="none"/>
              </w:rPr>
              <w:t>使用方法</w:t>
            </w:r>
          </w:p>
        </w:tc>
        <w:tc>
          <w:tcPr>
            <w:tcW w:w="7395" w:type="dxa"/>
            <w:gridSpan w:val="2"/>
          </w:tcPr>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一、样品DNA的制备</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用自选方法纯化N+2</w:t>
            </w:r>
            <w:r>
              <w:rPr>
                <w:rFonts w:ascii="华文中宋" w:hAnsi="华文中宋" w:eastAsia="华文中宋"/>
                <w:szCs w:val="21"/>
                <w:highlight w:val="none"/>
              </w:rPr>
              <w:t>个</w:t>
            </w:r>
            <w:r>
              <w:rPr>
                <w:rFonts w:hint="eastAsia" w:ascii="华文中宋" w:hAnsi="华文中宋" w:eastAsia="华文中宋"/>
                <w:szCs w:val="21"/>
                <w:highlight w:val="none"/>
              </w:rPr>
              <w:t>样品的DNA，本试剂盒跟</w:t>
            </w:r>
            <w:r>
              <w:rPr>
                <w:rFonts w:ascii="华文中宋" w:hAnsi="华文中宋" w:eastAsia="华文中宋"/>
                <w:szCs w:val="21"/>
                <w:highlight w:val="none"/>
              </w:rPr>
              <w:t>市场上大多数</w:t>
            </w:r>
            <w:r>
              <w:rPr>
                <w:rFonts w:hint="eastAsia" w:ascii="华文中宋" w:hAnsi="华文中宋" w:eastAsia="华文中宋"/>
                <w:szCs w:val="21"/>
                <w:highlight w:val="none"/>
              </w:rPr>
              <w:t>D</w:t>
            </w:r>
            <w:r>
              <w:rPr>
                <w:rFonts w:ascii="华文中宋" w:hAnsi="华文中宋" w:eastAsia="华文中宋"/>
                <w:szCs w:val="21"/>
                <w:highlight w:val="none"/>
              </w:rPr>
              <w:t>NA</w:t>
            </w:r>
            <w:r>
              <w:rPr>
                <w:rFonts w:hint="eastAsia" w:ascii="华文中宋" w:hAnsi="华文中宋" w:eastAsia="华文中宋"/>
                <w:szCs w:val="21"/>
                <w:highlight w:val="none"/>
              </w:rPr>
              <w:t>提取</w:t>
            </w:r>
            <w:r>
              <w:rPr>
                <w:rFonts w:ascii="华文中宋" w:hAnsi="华文中宋" w:eastAsia="华文中宋"/>
                <w:szCs w:val="21"/>
                <w:highlight w:val="none"/>
              </w:rPr>
              <w:t>试剂盒</w:t>
            </w:r>
            <w:r>
              <w:rPr>
                <w:rFonts w:hint="eastAsia" w:ascii="华文中宋" w:hAnsi="华文中宋" w:eastAsia="华文中宋"/>
                <w:szCs w:val="21"/>
                <w:highlight w:val="none"/>
              </w:rPr>
              <w:t>兼容。</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如果</w:t>
            </w:r>
            <w:r>
              <w:rPr>
                <w:rFonts w:ascii="华文中宋" w:hAnsi="华文中宋" w:eastAsia="华文中宋"/>
                <w:szCs w:val="21"/>
                <w:highlight w:val="none"/>
              </w:rPr>
              <w:t>有N个样品，</w:t>
            </w:r>
            <w:r>
              <w:rPr>
                <w:rFonts w:hint="eastAsia" w:ascii="华文中宋" w:hAnsi="华文中宋" w:eastAsia="华文中宋"/>
                <w:szCs w:val="21"/>
                <w:highlight w:val="none"/>
              </w:rPr>
              <w:t>则</w:t>
            </w:r>
            <w:r>
              <w:rPr>
                <w:rFonts w:ascii="华文中宋" w:hAnsi="华文中宋" w:eastAsia="华文中宋"/>
                <w:szCs w:val="21"/>
                <w:highlight w:val="none"/>
              </w:rPr>
              <w:t>需要做N+2</w:t>
            </w:r>
            <w:r>
              <w:rPr>
                <w:rFonts w:hint="eastAsia" w:ascii="华文中宋" w:hAnsi="华文中宋" w:eastAsia="华文中宋"/>
                <w:szCs w:val="21"/>
                <w:highlight w:val="none"/>
              </w:rPr>
              <w:t>个</w:t>
            </w:r>
            <w:r>
              <w:rPr>
                <w:rFonts w:ascii="华文中宋" w:hAnsi="华文中宋" w:eastAsia="华文中宋"/>
                <w:szCs w:val="21"/>
                <w:highlight w:val="none"/>
              </w:rPr>
              <w:t>提取，包括一个</w:t>
            </w:r>
            <w:r>
              <w:rPr>
                <w:rFonts w:hint="eastAsia" w:ascii="华文中宋" w:hAnsi="华文中宋" w:eastAsia="华文中宋"/>
                <w:szCs w:val="21"/>
                <w:highlight w:val="none"/>
              </w:rPr>
              <w:t>样品制备</w:t>
            </w:r>
            <w:r>
              <w:rPr>
                <w:rFonts w:ascii="华文中宋" w:hAnsi="华文中宋" w:eastAsia="华文中宋"/>
                <w:szCs w:val="21"/>
                <w:highlight w:val="none"/>
              </w:rPr>
              <w:t>阳性对照和一个</w:t>
            </w:r>
            <w:r>
              <w:rPr>
                <w:rFonts w:hint="eastAsia" w:ascii="华文中宋" w:hAnsi="华文中宋" w:eastAsia="华文中宋"/>
                <w:szCs w:val="21"/>
                <w:highlight w:val="none"/>
              </w:rPr>
              <w:t>样品制备</w:t>
            </w:r>
            <w:r>
              <w:rPr>
                <w:rFonts w:ascii="华文中宋" w:hAnsi="华文中宋" w:eastAsia="华文中宋"/>
                <w:szCs w:val="21"/>
                <w:highlight w:val="none"/>
              </w:rPr>
              <w:t>阴性对照。</w:t>
            </w:r>
            <w:r>
              <w:rPr>
                <w:rFonts w:hint="eastAsia" w:ascii="华文中宋" w:hAnsi="华文中宋" w:eastAsia="华文中宋"/>
                <w:szCs w:val="21"/>
                <w:highlight w:val="none"/>
              </w:rPr>
              <w:t>样品制备</w:t>
            </w:r>
            <w:r>
              <w:rPr>
                <w:rFonts w:ascii="华文中宋" w:hAnsi="华文中宋" w:eastAsia="华文中宋"/>
                <w:szCs w:val="21"/>
                <w:highlight w:val="none"/>
              </w:rPr>
              <w:t>阳性对照是在</w:t>
            </w:r>
            <w:r>
              <w:rPr>
                <w:rFonts w:hint="eastAsia" w:ascii="华文中宋" w:hAnsi="华文中宋" w:eastAsia="华文中宋"/>
                <w:szCs w:val="21"/>
                <w:highlight w:val="none"/>
              </w:rPr>
              <w:t>跟试剂盒所要求的样品体积相当的水</w:t>
            </w:r>
            <w:r>
              <w:rPr>
                <w:rFonts w:ascii="华文中宋" w:hAnsi="华文中宋" w:eastAsia="华文中宋"/>
                <w:szCs w:val="21"/>
                <w:highlight w:val="none"/>
              </w:rPr>
              <w:t>中</w:t>
            </w:r>
            <w:r>
              <w:rPr>
                <w:rFonts w:hint="eastAsia" w:ascii="华文中宋" w:hAnsi="华文中宋" w:eastAsia="华文中宋"/>
                <w:szCs w:val="21"/>
                <w:highlight w:val="none"/>
              </w:rPr>
              <w:t>（如果试剂盒一次处理需要200μL样品，则此处使用200μL水），</w:t>
            </w:r>
            <w:r>
              <w:rPr>
                <w:rFonts w:ascii="华文中宋" w:hAnsi="华文中宋" w:eastAsia="华文中宋"/>
                <w:szCs w:val="21"/>
                <w:highlight w:val="none"/>
              </w:rPr>
              <w:t>加</w:t>
            </w:r>
            <w:r>
              <w:rPr>
                <w:rFonts w:hint="eastAsia" w:ascii="华文中宋" w:hAnsi="华文中宋" w:eastAsia="华文中宋"/>
                <w:szCs w:val="21"/>
                <w:highlight w:val="none"/>
              </w:rPr>
              <w:t>10</w:t>
            </w:r>
            <w:r>
              <w:rPr>
                <w:rFonts w:ascii="华文中宋" w:hAnsi="华文中宋" w:eastAsia="华文中宋"/>
                <w:szCs w:val="21"/>
                <w:highlight w:val="none"/>
              </w:rPr>
              <w:t>μL</w:t>
            </w:r>
            <w:r>
              <w:rPr>
                <w:rFonts w:hint="eastAsia" w:ascii="华文中宋" w:hAnsi="华文中宋" w:eastAsia="华文中宋"/>
                <w:color w:val="000000"/>
                <w:szCs w:val="21"/>
                <w:highlight w:val="none"/>
              </w:rPr>
              <w:t>试剂盒提供的</w:t>
            </w:r>
            <w:r>
              <w:rPr>
                <w:rFonts w:hint="eastAsia" w:ascii="华文中宋" w:hAnsi="华文中宋" w:eastAsia="华文中宋"/>
                <w:bCs/>
                <w:szCs w:val="21"/>
                <w:highlight w:val="none"/>
              </w:rPr>
              <w:t>PCR阳性</w:t>
            </w:r>
            <w:r>
              <w:rPr>
                <w:rFonts w:ascii="华文中宋" w:hAnsi="华文中宋" w:eastAsia="华文中宋"/>
                <w:bCs/>
                <w:szCs w:val="21"/>
                <w:highlight w:val="none"/>
              </w:rPr>
              <w:t>对照</w:t>
            </w:r>
            <w:r>
              <w:rPr>
                <w:rFonts w:hint="eastAsia" w:ascii="华文中宋" w:hAnsi="华文中宋" w:eastAsia="华文中宋"/>
                <w:bCs/>
                <w:szCs w:val="21"/>
                <w:highlight w:val="none"/>
              </w:rPr>
              <w:t>（1×1</w:t>
            </w:r>
            <w:r>
              <w:rPr>
                <w:rFonts w:ascii="华文中宋" w:hAnsi="华文中宋" w:eastAsia="华文中宋"/>
                <w:bCs/>
                <w:szCs w:val="21"/>
                <w:highlight w:val="none"/>
              </w:rPr>
              <w:t>0</w:t>
            </w:r>
            <w:r>
              <w:rPr>
                <w:rFonts w:hint="eastAsia" w:ascii="华文中宋" w:hAnsi="华文中宋" w:eastAsia="华文中宋"/>
                <w:bCs/>
                <w:szCs w:val="21"/>
                <w:highlight w:val="none"/>
              </w:rPr>
              <w:t>E</w:t>
            </w:r>
            <w:r>
              <w:rPr>
                <w:rFonts w:ascii="华文中宋" w:hAnsi="华文中宋" w:eastAsia="华文中宋"/>
                <w:bCs/>
                <w:szCs w:val="21"/>
                <w:highlight w:val="none"/>
              </w:rPr>
              <w:t>7</w:t>
            </w:r>
            <w:r>
              <w:rPr>
                <w:rFonts w:hint="eastAsia" w:ascii="华文中宋" w:hAnsi="华文中宋" w:eastAsia="华文中宋"/>
                <w:bCs/>
                <w:szCs w:val="21"/>
                <w:highlight w:val="none"/>
              </w:rPr>
              <w:t>拷贝/</w:t>
            </w:r>
            <w:r>
              <w:rPr>
                <w:rFonts w:hint="eastAsia" w:ascii="华文中宋" w:hAnsi="华文中宋" w:eastAsia="华文中宋"/>
                <w:szCs w:val="21"/>
                <w:highlight w:val="none"/>
              </w:rPr>
              <w:t>μL</w:t>
            </w:r>
            <w:r>
              <w:rPr>
                <w:rFonts w:ascii="华文中宋" w:hAnsi="华文中宋" w:eastAsia="华文中宋"/>
                <w:szCs w:val="21"/>
                <w:highlight w:val="none"/>
              </w:rPr>
              <w:t>）</w:t>
            </w:r>
            <w:r>
              <w:rPr>
                <w:rFonts w:hint="eastAsia" w:ascii="华文中宋" w:hAnsi="华文中宋" w:eastAsia="华文中宋"/>
                <w:bCs/>
                <w:szCs w:val="21"/>
                <w:highlight w:val="none"/>
              </w:rPr>
              <w:t>的10000倍稀释液（需要提前将阳性对照稀释10000倍）而得</w:t>
            </w:r>
            <w:r>
              <w:rPr>
                <w:rFonts w:ascii="华文中宋" w:hAnsi="华文中宋" w:eastAsia="华文中宋"/>
                <w:bCs/>
                <w:szCs w:val="21"/>
                <w:highlight w:val="none"/>
              </w:rPr>
              <w:t>，</w:t>
            </w:r>
            <w:r>
              <w:rPr>
                <w:rFonts w:hint="eastAsia" w:ascii="华文中宋" w:hAnsi="华文中宋" w:eastAsia="华文中宋"/>
                <w:szCs w:val="21"/>
                <w:highlight w:val="none"/>
              </w:rPr>
              <w:t>样品制备阴性对照</w:t>
            </w:r>
            <w:r>
              <w:rPr>
                <w:rFonts w:ascii="华文中宋" w:hAnsi="华文中宋" w:eastAsia="华文中宋"/>
                <w:szCs w:val="21"/>
                <w:highlight w:val="none"/>
              </w:rPr>
              <w:t>是</w:t>
            </w:r>
            <w:r>
              <w:rPr>
                <w:rFonts w:hint="eastAsia" w:ascii="华文中宋" w:hAnsi="华文中宋" w:eastAsia="华文中宋"/>
                <w:szCs w:val="21"/>
                <w:highlight w:val="none"/>
              </w:rPr>
              <w:t>直接用所需量的水</w:t>
            </w:r>
            <w:r>
              <w:rPr>
                <w:rFonts w:ascii="华文中宋" w:hAnsi="华文中宋" w:eastAsia="华文中宋"/>
                <w:szCs w:val="21"/>
                <w:highlight w:val="none"/>
              </w:rPr>
              <w:t>。</w:t>
            </w:r>
            <w:r>
              <w:rPr>
                <w:rFonts w:hint="eastAsia" w:ascii="华文中宋" w:hAnsi="华文中宋" w:eastAsia="华文中宋"/>
                <w:szCs w:val="21"/>
                <w:highlight w:val="none"/>
              </w:rPr>
              <w:t>提取结束</w:t>
            </w:r>
            <w:r>
              <w:rPr>
                <w:rFonts w:ascii="华文中宋" w:hAnsi="华文中宋" w:eastAsia="华文中宋"/>
                <w:szCs w:val="21"/>
                <w:highlight w:val="none"/>
              </w:rPr>
              <w:t>后</w:t>
            </w:r>
            <w:r>
              <w:rPr>
                <w:rFonts w:hint="eastAsia" w:ascii="华文中宋" w:hAnsi="华文中宋" w:eastAsia="华文中宋"/>
                <w:szCs w:val="21"/>
                <w:highlight w:val="none"/>
              </w:rPr>
              <w:t>最后</w:t>
            </w:r>
            <w:r>
              <w:rPr>
                <w:rFonts w:ascii="华文中宋" w:hAnsi="华文中宋" w:eastAsia="华文中宋"/>
                <w:szCs w:val="21"/>
                <w:highlight w:val="none"/>
              </w:rPr>
              <w:t>得到模板DNA放冰上待用。</w:t>
            </w:r>
          </w:p>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二、设置PCR反应（</w:t>
            </w:r>
            <w:r>
              <w:rPr>
                <w:rFonts w:ascii="华文中宋" w:hAnsi="华文中宋" w:eastAsia="华文中宋"/>
                <w:szCs w:val="21"/>
                <w:highlight w:val="none"/>
              </w:rPr>
              <w:t>2</w:t>
            </w:r>
            <w:r>
              <w:rPr>
                <w:rFonts w:hint="eastAsia" w:ascii="华文中宋" w:hAnsi="华文中宋" w:eastAsia="华文中宋"/>
                <w:szCs w:val="21"/>
                <w:highlight w:val="none"/>
              </w:rPr>
              <w:t>0μL体系）</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对N+2个样品，在PCR时需要增加一个PCR阳性对照和一个PCR阴性对照，故需要设置N+4个反应。在N+4个PCR管中分别加入下列成分：</w:t>
            </w:r>
          </w:p>
          <w:tbl>
            <w:tblPr>
              <w:tblStyle w:val="6"/>
              <w:tblW w:w="6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1390"/>
              <w:gridCol w:w="11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511" w:type="dxa"/>
                  <w:vAlign w:val="center"/>
                </w:tcPr>
                <w:p>
                  <w:pPr>
                    <w:spacing w:line="360" w:lineRule="auto"/>
                    <w:jc w:val="center"/>
                    <w:rPr>
                      <w:rFonts w:ascii="华文中宋" w:hAnsi="华文中宋" w:eastAsia="华文中宋"/>
                      <w:b/>
                      <w:szCs w:val="21"/>
                      <w:highlight w:val="none"/>
                    </w:rPr>
                  </w:pPr>
                  <w:r>
                    <w:rPr>
                      <w:rFonts w:hint="eastAsia" w:ascii="华文中宋" w:hAnsi="华文中宋" w:eastAsia="华文中宋"/>
                      <w:b/>
                      <w:szCs w:val="21"/>
                      <w:highlight w:val="none"/>
                    </w:rPr>
                    <w:t>成分</w:t>
                  </w:r>
                </w:p>
              </w:tc>
              <w:tc>
                <w:tcPr>
                  <w:tcW w:w="1390" w:type="dxa"/>
                  <w:vAlign w:val="center"/>
                </w:tcPr>
                <w:p>
                  <w:pPr>
                    <w:jc w:val="center"/>
                    <w:rPr>
                      <w:rFonts w:ascii="华文中宋" w:hAnsi="华文中宋" w:eastAsia="华文中宋"/>
                      <w:b/>
                      <w:szCs w:val="21"/>
                      <w:highlight w:val="none"/>
                    </w:rPr>
                  </w:pPr>
                  <w:r>
                    <w:rPr>
                      <w:rFonts w:hint="eastAsia" w:ascii="华文中宋" w:hAnsi="华文中宋" w:eastAsia="华文中宋"/>
                      <w:b/>
                      <w:szCs w:val="21"/>
                      <w:highlight w:val="none"/>
                    </w:rPr>
                    <w:t>N+2</w:t>
                  </w:r>
                  <w:r>
                    <w:rPr>
                      <w:rFonts w:ascii="华文中宋" w:hAnsi="华文中宋" w:eastAsia="华文中宋"/>
                      <w:b/>
                      <w:szCs w:val="21"/>
                      <w:highlight w:val="none"/>
                    </w:rPr>
                    <w:t>个</w:t>
                  </w:r>
                </w:p>
                <w:p>
                  <w:pPr>
                    <w:jc w:val="center"/>
                    <w:rPr>
                      <w:rFonts w:ascii="华文中宋" w:hAnsi="华文中宋" w:eastAsia="华文中宋"/>
                      <w:b/>
                      <w:szCs w:val="21"/>
                      <w:highlight w:val="none"/>
                    </w:rPr>
                  </w:pPr>
                  <w:r>
                    <w:rPr>
                      <w:rFonts w:hint="eastAsia" w:ascii="华文中宋" w:hAnsi="华文中宋" w:eastAsia="华文中宋"/>
                      <w:b/>
                      <w:szCs w:val="21"/>
                      <w:highlight w:val="none"/>
                    </w:rPr>
                    <w:t>样品</w:t>
                  </w:r>
                  <w:r>
                    <w:rPr>
                      <w:rFonts w:ascii="华文中宋" w:hAnsi="华文中宋" w:eastAsia="华文中宋"/>
                      <w:b/>
                      <w:szCs w:val="21"/>
                      <w:highlight w:val="none"/>
                    </w:rPr>
                    <w:t>管</w:t>
                  </w:r>
                </w:p>
              </w:tc>
              <w:tc>
                <w:tcPr>
                  <w:tcW w:w="1154" w:type="dxa"/>
                </w:tcPr>
                <w:p>
                  <w:pPr>
                    <w:jc w:val="center"/>
                    <w:rPr>
                      <w:rFonts w:ascii="华文中宋" w:hAnsi="华文中宋" w:eastAsia="华文中宋"/>
                      <w:b/>
                      <w:szCs w:val="21"/>
                      <w:highlight w:val="none"/>
                    </w:rPr>
                  </w:pPr>
                  <w:r>
                    <w:rPr>
                      <w:rFonts w:hint="eastAsia" w:ascii="华文中宋" w:hAnsi="华文中宋" w:eastAsia="华文中宋"/>
                      <w:b/>
                      <w:szCs w:val="21"/>
                      <w:highlight w:val="none"/>
                    </w:rPr>
                    <w:t>PCR</w:t>
                  </w:r>
                </w:p>
                <w:p>
                  <w:pPr>
                    <w:jc w:val="center"/>
                    <w:rPr>
                      <w:rFonts w:ascii="华文中宋" w:hAnsi="华文中宋" w:eastAsia="华文中宋"/>
                      <w:b/>
                      <w:szCs w:val="21"/>
                      <w:highlight w:val="none"/>
                    </w:rPr>
                  </w:pPr>
                  <w:r>
                    <w:rPr>
                      <w:rFonts w:hint="eastAsia" w:ascii="华文中宋" w:hAnsi="华文中宋" w:eastAsia="华文中宋"/>
                      <w:b/>
                      <w:szCs w:val="21"/>
                      <w:highlight w:val="none"/>
                    </w:rPr>
                    <w:t>阴性</w:t>
                  </w:r>
                  <w:r>
                    <w:rPr>
                      <w:rFonts w:ascii="华文中宋" w:hAnsi="华文中宋" w:eastAsia="华文中宋"/>
                      <w:b/>
                      <w:szCs w:val="21"/>
                      <w:highlight w:val="none"/>
                    </w:rPr>
                    <w:t>对照</w:t>
                  </w:r>
                </w:p>
              </w:tc>
              <w:tc>
                <w:tcPr>
                  <w:tcW w:w="1154" w:type="dxa"/>
                </w:tcPr>
                <w:p>
                  <w:pPr>
                    <w:jc w:val="center"/>
                    <w:rPr>
                      <w:rFonts w:ascii="华文中宋" w:hAnsi="华文中宋" w:eastAsia="华文中宋"/>
                      <w:b/>
                      <w:szCs w:val="21"/>
                      <w:highlight w:val="none"/>
                    </w:rPr>
                  </w:pPr>
                  <w:r>
                    <w:rPr>
                      <w:rFonts w:hint="eastAsia" w:ascii="华文中宋" w:hAnsi="华文中宋" w:eastAsia="华文中宋"/>
                      <w:b/>
                      <w:szCs w:val="21"/>
                      <w:highlight w:val="none"/>
                    </w:rPr>
                    <w:t>PCR</w:t>
                  </w:r>
                </w:p>
                <w:p>
                  <w:pPr>
                    <w:jc w:val="center"/>
                    <w:rPr>
                      <w:rFonts w:ascii="华文中宋" w:hAnsi="华文中宋" w:eastAsia="华文中宋"/>
                      <w:b/>
                      <w:szCs w:val="21"/>
                      <w:highlight w:val="none"/>
                    </w:rPr>
                  </w:pPr>
                  <w:r>
                    <w:rPr>
                      <w:rFonts w:hint="eastAsia" w:ascii="华文中宋" w:hAnsi="华文中宋" w:eastAsia="华文中宋"/>
                      <w:b/>
                      <w:szCs w:val="21"/>
                      <w:highlight w:val="none"/>
                    </w:rPr>
                    <w:t>阳性</w:t>
                  </w:r>
                  <w:r>
                    <w:rPr>
                      <w:rFonts w:ascii="华文中宋" w:hAnsi="华文中宋" w:eastAsia="华文中宋"/>
                      <w:b/>
                      <w:szCs w:val="21"/>
                      <w:highlight w:val="none"/>
                    </w:rPr>
                    <w:t>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511" w:type="dxa"/>
                  <w:vAlign w:val="center"/>
                </w:tcPr>
                <w:p>
                  <w:pPr>
                    <w:spacing w:line="360" w:lineRule="auto"/>
                    <w:rPr>
                      <w:rFonts w:ascii="华文中宋" w:hAnsi="华文中宋" w:eastAsia="华文中宋"/>
                      <w:szCs w:val="21"/>
                      <w:highlight w:val="none"/>
                    </w:rPr>
                  </w:pPr>
                  <w:r>
                    <w:rPr>
                      <w:rFonts w:ascii="华文中宋" w:hAnsi="华文中宋" w:eastAsia="华文中宋"/>
                      <w:szCs w:val="21"/>
                      <w:highlight w:val="none"/>
                    </w:rPr>
                    <w:t xml:space="preserve">PCR </w:t>
                  </w:r>
                  <w:r>
                    <w:rPr>
                      <w:rFonts w:hint="eastAsia" w:ascii="华文中宋" w:hAnsi="华文中宋" w:eastAsia="华文中宋"/>
                      <w:szCs w:val="21"/>
                      <w:highlight w:val="none"/>
                    </w:rPr>
                    <w:t>Magic</w:t>
                  </w:r>
                  <w:r>
                    <w:rPr>
                      <w:rFonts w:ascii="华文中宋" w:hAnsi="华文中宋" w:eastAsia="华文中宋"/>
                      <w:szCs w:val="21"/>
                      <w:highlight w:val="none"/>
                    </w:rPr>
                    <w:t>Mix</w:t>
                  </w:r>
                  <w:r>
                    <w:rPr>
                      <w:rFonts w:hint="eastAsia" w:ascii="华文中宋" w:hAnsi="华文中宋" w:eastAsia="华文中宋"/>
                      <w:szCs w:val="21"/>
                      <w:highlight w:val="none"/>
                    </w:rPr>
                    <w:t xml:space="preserve"> 3.0 </w:t>
                  </w:r>
                </w:p>
              </w:tc>
              <w:tc>
                <w:tcPr>
                  <w:tcW w:w="1390"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各</w:t>
                  </w:r>
                  <w:r>
                    <w:rPr>
                      <w:rFonts w:ascii="华文中宋" w:hAnsi="华文中宋" w:eastAsia="华文中宋"/>
                      <w:szCs w:val="21"/>
                      <w:highlight w:val="none"/>
                    </w:rPr>
                    <w:t>1</w:t>
                  </w:r>
                  <w:r>
                    <w:rPr>
                      <w:rFonts w:hint="eastAsia" w:ascii="华文中宋" w:hAnsi="华文中宋" w:eastAsia="华文中宋"/>
                      <w:szCs w:val="21"/>
                      <w:highlight w:val="none"/>
                    </w:rPr>
                    <w:t>0</w:t>
                  </w:r>
                  <w:r>
                    <w:rPr>
                      <w:rFonts w:ascii="华文中宋" w:hAnsi="华文中宋" w:eastAsia="华文中宋"/>
                      <w:szCs w:val="21"/>
                      <w:highlight w:val="none"/>
                    </w:rPr>
                    <w:t>μL</w:t>
                  </w:r>
                </w:p>
              </w:tc>
              <w:tc>
                <w:tcPr>
                  <w:tcW w:w="1154" w:type="dxa"/>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1</w:t>
                  </w:r>
                  <w:r>
                    <w:rPr>
                      <w:rFonts w:hint="eastAsia" w:ascii="华文中宋" w:hAnsi="华文中宋" w:eastAsia="华文中宋"/>
                      <w:szCs w:val="21"/>
                      <w:highlight w:val="none"/>
                    </w:rPr>
                    <w:t>0</w:t>
                  </w:r>
                  <w:r>
                    <w:rPr>
                      <w:rFonts w:ascii="华文中宋" w:hAnsi="华文中宋" w:eastAsia="华文中宋"/>
                      <w:szCs w:val="21"/>
                      <w:highlight w:val="none"/>
                    </w:rPr>
                    <w:t>μL</w:t>
                  </w:r>
                </w:p>
              </w:tc>
              <w:tc>
                <w:tcPr>
                  <w:tcW w:w="1154" w:type="dxa"/>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1</w:t>
                  </w:r>
                  <w:r>
                    <w:rPr>
                      <w:rFonts w:hint="eastAsia" w:ascii="华文中宋" w:hAnsi="华文中宋" w:eastAsia="华文中宋"/>
                      <w:szCs w:val="21"/>
                      <w:highlight w:val="none"/>
                    </w:rPr>
                    <w:t>0</w:t>
                  </w:r>
                  <w:r>
                    <w:rPr>
                      <w:rFonts w:ascii="华文中宋" w:hAnsi="华文中宋" w:eastAsia="华文中宋"/>
                      <w:szCs w:val="21"/>
                      <w:highlight w:val="none"/>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511" w:type="dxa"/>
                  <w:vAlign w:val="center"/>
                </w:tcPr>
                <w:p>
                  <w:pPr>
                    <w:rPr>
                      <w:rFonts w:ascii="华文中宋" w:hAnsi="华文中宋" w:eastAsia="华文中宋"/>
                      <w:bCs/>
                      <w:szCs w:val="21"/>
                      <w:highlight w:val="none"/>
                    </w:rPr>
                  </w:pPr>
                  <w:r>
                    <w:rPr>
                      <w:rFonts w:hint="eastAsia" w:ascii="华文中宋" w:hAnsi="华文中宋" w:eastAsia="华文中宋"/>
                      <w:color w:val="000000"/>
                      <w:szCs w:val="21"/>
                      <w:highlight w:val="none"/>
                      <w:lang w:eastAsia="zh-CN"/>
                    </w:rPr>
                    <w:t>鸡</w:t>
                  </w:r>
                  <w:r>
                    <w:rPr>
                      <w:rFonts w:hint="eastAsia" w:ascii="华文中宋" w:hAnsi="华文中宋" w:eastAsia="华文中宋"/>
                      <w:color w:val="000000"/>
                      <w:szCs w:val="21"/>
                      <w:highlight w:val="none"/>
                    </w:rPr>
                    <w:t>源</w:t>
                  </w:r>
                  <w:r>
                    <w:rPr>
                      <w:rFonts w:ascii="华文中宋" w:hAnsi="华文中宋" w:eastAsia="华文中宋"/>
                      <w:color w:val="000000"/>
                      <w:szCs w:val="21"/>
                      <w:highlight w:val="none"/>
                    </w:rPr>
                    <w:t>性成分</w:t>
                  </w:r>
                  <w:r>
                    <w:rPr>
                      <w:rFonts w:ascii="华文中宋" w:hAnsi="华文中宋" w:eastAsia="华文中宋"/>
                      <w:bCs/>
                      <w:szCs w:val="21"/>
                      <w:highlight w:val="none"/>
                    </w:rPr>
                    <w:t>PCR</w:t>
                  </w:r>
                </w:p>
                <w:p>
                  <w:pPr>
                    <w:rPr>
                      <w:rFonts w:ascii="华文中宋" w:hAnsi="华文中宋" w:eastAsia="华文中宋"/>
                      <w:szCs w:val="21"/>
                      <w:highlight w:val="none"/>
                    </w:rPr>
                  </w:pPr>
                  <w:r>
                    <w:rPr>
                      <w:rFonts w:hint="eastAsia" w:ascii="华文中宋" w:hAnsi="华文中宋" w:eastAsia="华文中宋"/>
                      <w:bCs/>
                      <w:szCs w:val="21"/>
                      <w:highlight w:val="none"/>
                    </w:rPr>
                    <w:t>引物混合液</w:t>
                  </w:r>
                </w:p>
              </w:tc>
              <w:tc>
                <w:tcPr>
                  <w:tcW w:w="1390"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szCs w:val="21"/>
                      <w:highlight w:val="none"/>
                    </w:rPr>
                    <w:t>各2μL</w:t>
                  </w:r>
                </w:p>
              </w:tc>
              <w:tc>
                <w:tcPr>
                  <w:tcW w:w="1154"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szCs w:val="21"/>
                      <w:highlight w:val="none"/>
                    </w:rPr>
                    <w:t>2μL</w:t>
                  </w:r>
                </w:p>
              </w:tc>
              <w:tc>
                <w:tcPr>
                  <w:tcW w:w="1154"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szCs w:val="21"/>
                      <w:highlight w:val="none"/>
                    </w:rPr>
                    <w:t>2μL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511" w:type="dxa"/>
                  <w:vAlign w:val="center"/>
                </w:tcPr>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N+2个样品DNA模板</w:t>
                  </w:r>
                </w:p>
              </w:tc>
              <w:tc>
                <w:tcPr>
                  <w:tcW w:w="1390"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szCs w:val="21"/>
                      <w:highlight w:val="none"/>
                    </w:rPr>
                    <w:t>各8μL</w:t>
                  </w:r>
                </w:p>
              </w:tc>
              <w:tc>
                <w:tcPr>
                  <w:tcW w:w="1154"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szCs w:val="21"/>
                      <w:highlight w:val="none"/>
                    </w:rPr>
                    <w:t>-</w:t>
                  </w:r>
                </w:p>
              </w:tc>
              <w:tc>
                <w:tcPr>
                  <w:tcW w:w="1154"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11" w:type="dxa"/>
                  <w:vAlign w:val="center"/>
                </w:tcPr>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PCR阴性</w:t>
                  </w:r>
                  <w:r>
                    <w:rPr>
                      <w:rFonts w:ascii="华文中宋" w:hAnsi="华文中宋" w:eastAsia="华文中宋"/>
                      <w:szCs w:val="21"/>
                      <w:highlight w:val="none"/>
                    </w:rPr>
                    <w:t>对照</w:t>
                  </w:r>
                  <w:r>
                    <w:rPr>
                      <w:rFonts w:hint="eastAsia" w:ascii="华文中宋" w:hAnsi="华文中宋" w:eastAsia="华文中宋"/>
                      <w:szCs w:val="21"/>
                      <w:highlight w:val="none"/>
                    </w:rPr>
                    <w:t>（水）</w:t>
                  </w:r>
                </w:p>
              </w:tc>
              <w:tc>
                <w:tcPr>
                  <w:tcW w:w="1390"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w:t>
                  </w:r>
                </w:p>
              </w:tc>
              <w:tc>
                <w:tcPr>
                  <w:tcW w:w="1154"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8μL</w:t>
                  </w:r>
                </w:p>
              </w:tc>
              <w:tc>
                <w:tcPr>
                  <w:tcW w:w="1154"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11" w:type="dxa"/>
                  <w:vAlign w:val="center"/>
                </w:tcPr>
                <w:p>
                  <w:pPr>
                    <w:rPr>
                      <w:rFonts w:ascii="华文中宋" w:hAnsi="华文中宋" w:eastAsia="华文中宋"/>
                      <w:szCs w:val="21"/>
                      <w:highlight w:val="none"/>
                    </w:rPr>
                  </w:pPr>
                  <w:r>
                    <w:rPr>
                      <w:rFonts w:hint="eastAsia" w:ascii="华文中宋" w:hAnsi="华文中宋" w:eastAsia="华文中宋"/>
                      <w:bCs/>
                      <w:szCs w:val="21"/>
                      <w:highlight w:val="none"/>
                    </w:rPr>
                    <w:t>第2步所得PCR阳性</w:t>
                  </w:r>
                  <w:r>
                    <w:rPr>
                      <w:rFonts w:ascii="华文中宋" w:hAnsi="华文中宋" w:eastAsia="华文中宋"/>
                      <w:bCs/>
                      <w:szCs w:val="21"/>
                      <w:highlight w:val="none"/>
                    </w:rPr>
                    <w:t>对照</w:t>
                  </w:r>
                  <w:r>
                    <w:rPr>
                      <w:rFonts w:hint="eastAsia" w:ascii="华文中宋" w:hAnsi="华文中宋" w:eastAsia="华文中宋"/>
                      <w:bCs/>
                      <w:szCs w:val="21"/>
                      <w:highlight w:val="none"/>
                    </w:rPr>
                    <w:t>的10000倍稀释液</w:t>
                  </w:r>
                </w:p>
              </w:tc>
              <w:tc>
                <w:tcPr>
                  <w:tcW w:w="1390" w:type="dxa"/>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w:t>
                  </w:r>
                </w:p>
              </w:tc>
              <w:tc>
                <w:tcPr>
                  <w:tcW w:w="1154"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w:t>
                  </w:r>
                </w:p>
              </w:tc>
              <w:tc>
                <w:tcPr>
                  <w:tcW w:w="1154"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8μL</w:t>
                  </w:r>
                </w:p>
              </w:tc>
            </w:tr>
          </w:tbl>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按</w:t>
            </w:r>
            <w:r>
              <w:rPr>
                <w:rFonts w:ascii="华文中宋" w:hAnsi="华文中宋" w:eastAsia="华文中宋"/>
                <w:szCs w:val="21"/>
                <w:highlight w:val="none"/>
              </w:rPr>
              <w:t>下表设置PCR反应：</w:t>
            </w:r>
          </w:p>
          <w:tbl>
            <w:tblPr>
              <w:tblStyle w:val="6"/>
              <w:tblW w:w="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16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b/>
                      <w:szCs w:val="21"/>
                      <w:highlight w:val="none"/>
                    </w:rPr>
                  </w:pPr>
                  <w:r>
                    <w:rPr>
                      <w:rFonts w:hint="eastAsia" w:ascii="华文中宋" w:hAnsi="华文中宋" w:eastAsia="华文中宋"/>
                      <w:b/>
                      <w:szCs w:val="21"/>
                      <w:highlight w:val="none"/>
                    </w:rPr>
                    <w:t>过程</w:t>
                  </w:r>
                </w:p>
              </w:tc>
              <w:tc>
                <w:tcPr>
                  <w:tcW w:w="1168" w:type="dxa"/>
                  <w:tcBorders>
                    <w:bottom w:val="single" w:color="auto" w:sz="4" w:space="0"/>
                  </w:tcBorders>
                  <w:vAlign w:val="center"/>
                </w:tcPr>
                <w:p>
                  <w:pPr>
                    <w:spacing w:line="360" w:lineRule="auto"/>
                    <w:jc w:val="center"/>
                    <w:rPr>
                      <w:rFonts w:ascii="华文中宋" w:hAnsi="华文中宋" w:eastAsia="华文中宋"/>
                      <w:b/>
                      <w:szCs w:val="21"/>
                      <w:highlight w:val="none"/>
                    </w:rPr>
                  </w:pPr>
                  <w:r>
                    <w:rPr>
                      <w:rFonts w:hint="eastAsia" w:ascii="华文中宋" w:hAnsi="华文中宋" w:eastAsia="华文中宋"/>
                      <w:b/>
                      <w:szCs w:val="21"/>
                      <w:highlight w:val="none"/>
                    </w:rPr>
                    <w:t>温度</w:t>
                  </w:r>
                </w:p>
              </w:tc>
              <w:tc>
                <w:tcPr>
                  <w:tcW w:w="1182" w:type="dxa"/>
                  <w:tcBorders>
                    <w:bottom w:val="single" w:color="auto" w:sz="4" w:space="0"/>
                  </w:tcBorders>
                  <w:vAlign w:val="center"/>
                </w:tcPr>
                <w:p>
                  <w:pPr>
                    <w:spacing w:line="360" w:lineRule="auto"/>
                    <w:jc w:val="center"/>
                    <w:rPr>
                      <w:rFonts w:ascii="华文中宋" w:hAnsi="华文中宋" w:eastAsia="华文中宋"/>
                      <w:b/>
                      <w:szCs w:val="21"/>
                      <w:highlight w:val="none"/>
                    </w:rPr>
                  </w:pPr>
                  <w:r>
                    <w:rPr>
                      <w:rFonts w:hint="eastAsia" w:ascii="华文中宋" w:hAnsi="华文中宋" w:eastAsia="华文中宋"/>
                      <w:b/>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预变性</w:t>
                  </w:r>
                </w:p>
              </w:tc>
              <w:tc>
                <w:tcPr>
                  <w:tcW w:w="1168" w:type="dxa"/>
                  <w:tcBorders>
                    <w:bottom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95</w:t>
                  </w:r>
                  <w:r>
                    <w:rPr>
                      <w:rFonts w:ascii="华文中宋" w:hAnsi="华文中宋" w:eastAsia="华文中宋"/>
                      <w:szCs w:val="21"/>
                      <w:highlight w:val="none"/>
                    </w:rPr>
                    <w:t>℃</w:t>
                  </w:r>
                </w:p>
              </w:tc>
              <w:tc>
                <w:tcPr>
                  <w:tcW w:w="1182" w:type="dxa"/>
                  <w:tcBorders>
                    <w:bottom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vMerge w:val="restart"/>
                  <w:tcBorders>
                    <w:top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PCR反应</w:t>
                  </w:r>
                </w:p>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（35个循环）</w:t>
                  </w:r>
                </w:p>
              </w:tc>
              <w:tc>
                <w:tcPr>
                  <w:tcW w:w="1168"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95</w:t>
                  </w:r>
                  <w:r>
                    <w:rPr>
                      <w:rFonts w:ascii="华文中宋" w:hAnsi="华文中宋" w:eastAsia="华文中宋"/>
                      <w:szCs w:val="21"/>
                      <w:highlight w:val="none"/>
                    </w:rPr>
                    <w:t>℃</w:t>
                  </w:r>
                </w:p>
              </w:tc>
              <w:tc>
                <w:tcPr>
                  <w:tcW w:w="1182"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lang w:val="en-US" w:eastAsia="zh-CN"/>
                    </w:rPr>
                    <w:t>1</w:t>
                  </w:r>
                  <w:r>
                    <w:rPr>
                      <w:rFonts w:hint="eastAsia" w:ascii="华文中宋" w:hAnsi="华文中宋" w:eastAsia="华文中宋"/>
                      <w:szCs w:val="21"/>
                      <w:highlight w:val="none"/>
                    </w:rPr>
                    <w:t>5</w:t>
                  </w:r>
                  <w:r>
                    <w:rPr>
                      <w:rFonts w:ascii="华文中宋" w:hAnsi="华文中宋" w:eastAsia="华文中宋"/>
                      <w:szCs w:val="21"/>
                      <w:highlight w:val="none"/>
                    </w:rPr>
                    <w:t xml:space="preserve"> </w:t>
                  </w:r>
                  <w:r>
                    <w:rPr>
                      <w:rFonts w:hint="eastAsia" w:ascii="华文中宋" w:hAnsi="华文中宋" w:eastAsia="华文中宋"/>
                      <w:szCs w:val="21"/>
                      <w:highlight w:val="none"/>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vMerge w:val="continue"/>
                  <w:shd w:val="clear" w:color="auto" w:fill="auto"/>
                  <w:vAlign w:val="center"/>
                </w:tcPr>
                <w:p>
                  <w:pPr>
                    <w:spacing w:line="360" w:lineRule="auto"/>
                    <w:jc w:val="center"/>
                    <w:rPr>
                      <w:rFonts w:ascii="华文中宋" w:hAnsi="华文中宋" w:eastAsia="华文中宋"/>
                      <w:szCs w:val="21"/>
                      <w:highlight w:val="none"/>
                    </w:rPr>
                  </w:pPr>
                </w:p>
              </w:tc>
              <w:tc>
                <w:tcPr>
                  <w:tcW w:w="1168"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5</w:t>
                  </w:r>
                  <w:r>
                    <w:rPr>
                      <w:rFonts w:hint="eastAsia" w:ascii="华文中宋" w:hAnsi="华文中宋" w:eastAsia="华文中宋"/>
                      <w:szCs w:val="21"/>
                      <w:highlight w:val="none"/>
                      <w:lang w:val="en-US" w:eastAsia="zh-CN"/>
                    </w:rPr>
                    <w:t>5</w:t>
                  </w:r>
                  <w:r>
                    <w:rPr>
                      <w:rFonts w:hint="eastAsia" w:ascii="华文中宋" w:hAnsi="华文中宋" w:eastAsia="华文中宋"/>
                      <w:szCs w:val="21"/>
                      <w:highlight w:val="none"/>
                    </w:rPr>
                    <w:t>℃</w:t>
                  </w:r>
                </w:p>
              </w:tc>
              <w:tc>
                <w:tcPr>
                  <w:tcW w:w="1182"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lang w:val="en-US" w:eastAsia="zh-CN"/>
                    </w:rPr>
                    <w:t>30</w:t>
                  </w:r>
                  <w:r>
                    <w:rPr>
                      <w:rFonts w:ascii="华文中宋" w:hAnsi="华文中宋" w:eastAsia="华文中宋"/>
                      <w:szCs w:val="21"/>
                      <w:highlight w:val="none"/>
                    </w:rPr>
                    <w:t xml:space="preserve"> </w:t>
                  </w:r>
                  <w:r>
                    <w:rPr>
                      <w:rFonts w:hint="eastAsia" w:ascii="华文中宋" w:hAnsi="华文中宋" w:eastAsia="华文中宋"/>
                      <w:szCs w:val="21"/>
                      <w:highlight w:val="none"/>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vMerge w:val="continue"/>
                  <w:tcBorders>
                    <w:bottom w:val="single" w:color="auto" w:sz="4" w:space="0"/>
                  </w:tcBorders>
                  <w:shd w:val="clear" w:color="auto" w:fill="auto"/>
                </w:tcPr>
                <w:p>
                  <w:pPr>
                    <w:spacing w:line="360" w:lineRule="auto"/>
                    <w:ind w:firstLine="525" w:firstLineChars="250"/>
                    <w:jc w:val="center"/>
                    <w:rPr>
                      <w:rFonts w:ascii="华文中宋" w:hAnsi="华文中宋" w:eastAsia="华文中宋"/>
                      <w:szCs w:val="21"/>
                      <w:highlight w:val="none"/>
                    </w:rPr>
                  </w:pPr>
                </w:p>
              </w:tc>
              <w:tc>
                <w:tcPr>
                  <w:tcW w:w="1168" w:type="dxa"/>
                  <w:tcBorders>
                    <w:bottom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72℃</w:t>
                  </w:r>
                </w:p>
              </w:tc>
              <w:tc>
                <w:tcPr>
                  <w:tcW w:w="1182" w:type="dxa"/>
                  <w:tcBorders>
                    <w:bottom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30</w:t>
                  </w:r>
                  <w:r>
                    <w:rPr>
                      <w:rFonts w:ascii="华文中宋" w:hAnsi="华文中宋" w:eastAsia="华文中宋"/>
                      <w:szCs w:val="21"/>
                      <w:highlight w:val="none"/>
                    </w:rPr>
                    <w:t xml:space="preserve"> </w:t>
                  </w:r>
                  <w:r>
                    <w:rPr>
                      <w:rFonts w:hint="eastAsia" w:ascii="华文中宋" w:hAnsi="华文中宋" w:eastAsia="华文中宋"/>
                      <w:szCs w:val="21"/>
                      <w:highlight w:val="none"/>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top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最后延伸</w:t>
                  </w:r>
                </w:p>
              </w:tc>
              <w:tc>
                <w:tcPr>
                  <w:tcW w:w="1168"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72</w:t>
                  </w:r>
                  <w:r>
                    <w:rPr>
                      <w:rFonts w:ascii="华文中宋" w:hAnsi="华文中宋" w:eastAsia="华文中宋"/>
                      <w:szCs w:val="21"/>
                      <w:highlight w:val="none"/>
                    </w:rPr>
                    <w:t>℃</w:t>
                  </w:r>
                </w:p>
              </w:tc>
              <w:tc>
                <w:tcPr>
                  <w:tcW w:w="1182"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10 min</w:t>
                  </w:r>
                </w:p>
              </w:tc>
            </w:tr>
          </w:tbl>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三、电泳检测</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取</w:t>
            </w:r>
            <w:r>
              <w:rPr>
                <w:rFonts w:hint="eastAsia" w:ascii="华文中宋" w:hAnsi="华文中宋" w:eastAsia="华文中宋"/>
                <w:szCs w:val="21"/>
                <w:highlight w:val="none"/>
                <w:lang w:val="en-US" w:eastAsia="zh-CN"/>
              </w:rPr>
              <w:t>5-10</w:t>
            </w:r>
            <w:r>
              <w:rPr>
                <w:rFonts w:hint="eastAsia" w:ascii="华文中宋" w:hAnsi="华文中宋" w:eastAsia="华文中宋"/>
                <w:szCs w:val="21"/>
                <w:highlight w:val="none"/>
              </w:rPr>
              <w:t>uL扩增产物进行常规琼脂糖电泳，检测</w:t>
            </w:r>
            <w:r>
              <w:rPr>
                <w:rFonts w:ascii="华文中宋" w:hAnsi="华文中宋" w:eastAsia="华文中宋"/>
                <w:szCs w:val="21"/>
                <w:highlight w:val="none"/>
              </w:rPr>
              <w:t>扩增效果</w:t>
            </w:r>
            <w:r>
              <w:rPr>
                <w:rFonts w:hint="eastAsia" w:ascii="华文中宋" w:hAnsi="华文中宋" w:eastAsia="华文中宋"/>
                <w:szCs w:val="21"/>
                <w:highlight w:val="none"/>
              </w:rPr>
              <w:t>，由于扩增产物较短，建议用1</w:t>
            </w:r>
            <w:r>
              <w:rPr>
                <w:rFonts w:ascii="华文中宋" w:hAnsi="华文中宋" w:eastAsia="华文中宋"/>
                <w:szCs w:val="21"/>
                <w:highlight w:val="none"/>
              </w:rPr>
              <w:t>.5%-2.0%</w:t>
            </w:r>
            <w:r>
              <w:rPr>
                <w:rFonts w:hint="eastAsia" w:ascii="华文中宋" w:hAnsi="华文中宋" w:eastAsia="华文中宋"/>
                <w:szCs w:val="21"/>
                <w:highlight w:val="none"/>
              </w:rPr>
              <w:t>的琼脂糖凝胶。</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阳性样品预期得到的扩增产物长度为</w:t>
            </w:r>
            <w:r>
              <w:rPr>
                <w:rFonts w:hint="eastAsia" w:ascii="华文中宋" w:hAnsi="华文中宋" w:eastAsia="华文中宋"/>
                <w:szCs w:val="21"/>
                <w:highlight w:val="none"/>
                <w:lang w:val="en-US" w:eastAsia="zh-CN"/>
              </w:rPr>
              <w:t>266</w:t>
            </w:r>
            <w:r>
              <w:rPr>
                <w:rFonts w:hint="eastAsia" w:ascii="华文中宋" w:hAnsi="华文中宋" w:eastAsia="华文中宋"/>
                <w:szCs w:val="21"/>
                <w:highlight w:val="none"/>
              </w:rPr>
              <w:t>bp</w:t>
            </w:r>
            <w:r>
              <w:rPr>
                <w:rFonts w:ascii="华文中宋" w:hAnsi="华文中宋" w:eastAsia="华文中宋"/>
                <w:szCs w:val="21"/>
                <w:highlight w:val="none"/>
              </w:rPr>
              <w:t>。</w:t>
            </w:r>
            <w:r>
              <w:rPr>
                <w:rFonts w:hint="eastAsia" w:ascii="华文中宋" w:hAnsi="华文中宋" w:eastAsia="华文中宋"/>
                <w:szCs w:val="21"/>
                <w:highlight w:val="none"/>
              </w:rPr>
              <w:t>如果两个阴性对照（样品制备阴</w:t>
            </w:r>
            <w:r>
              <w:rPr>
                <w:rFonts w:ascii="华文中宋" w:hAnsi="华文中宋" w:eastAsia="华文中宋"/>
                <w:szCs w:val="21"/>
                <w:highlight w:val="none"/>
              </w:rPr>
              <w:t>性对照</w:t>
            </w:r>
            <w:r>
              <w:rPr>
                <w:rFonts w:hint="eastAsia" w:ascii="华文中宋" w:hAnsi="华文中宋" w:eastAsia="华文中宋"/>
                <w:szCs w:val="21"/>
                <w:highlight w:val="none"/>
              </w:rPr>
              <w:t>或PCR阴性对照）有此扩增产物，说明环境污染，则整个实验无效，不需要分析实验结果。如果所有样品和PCR</w:t>
            </w:r>
            <w:r>
              <w:rPr>
                <w:rFonts w:ascii="华文中宋" w:hAnsi="华文中宋" w:eastAsia="华文中宋"/>
                <w:szCs w:val="21"/>
                <w:highlight w:val="none"/>
              </w:rPr>
              <w:t>阳性对照</w:t>
            </w:r>
            <w:r>
              <w:rPr>
                <w:rFonts w:hint="eastAsia" w:ascii="华文中宋" w:hAnsi="华文中宋" w:eastAsia="华文中宋"/>
                <w:szCs w:val="21"/>
                <w:highlight w:val="none"/>
              </w:rPr>
              <w:t>均</w:t>
            </w:r>
            <w:r>
              <w:rPr>
                <w:rFonts w:ascii="华文中宋" w:hAnsi="华文中宋" w:eastAsia="华文中宋"/>
                <w:szCs w:val="21"/>
                <w:highlight w:val="none"/>
              </w:rPr>
              <w:t>无</w:t>
            </w:r>
            <w:r>
              <w:rPr>
                <w:rFonts w:hint="eastAsia" w:ascii="华文中宋" w:hAnsi="华文中宋" w:eastAsia="华文中宋"/>
                <w:szCs w:val="21"/>
                <w:highlight w:val="none"/>
              </w:rPr>
              <w:t>此</w:t>
            </w:r>
            <w:r>
              <w:rPr>
                <w:rFonts w:ascii="华文中宋" w:hAnsi="华文中宋" w:eastAsia="华文中宋"/>
                <w:szCs w:val="21"/>
                <w:highlight w:val="none"/>
              </w:rPr>
              <w:t>扩增产物，</w:t>
            </w:r>
            <w:r>
              <w:rPr>
                <w:rFonts w:hint="eastAsia" w:ascii="华文中宋" w:hAnsi="华文中宋" w:eastAsia="华文中宋"/>
                <w:szCs w:val="21"/>
                <w:highlight w:val="none"/>
              </w:rPr>
              <w:t>则</w:t>
            </w:r>
            <w:r>
              <w:rPr>
                <w:rFonts w:ascii="华文中宋" w:hAnsi="华文中宋" w:eastAsia="华文中宋"/>
                <w:szCs w:val="21"/>
                <w:highlight w:val="none"/>
              </w:rPr>
              <w:t>说明</w:t>
            </w:r>
            <w:r>
              <w:rPr>
                <w:rFonts w:hint="eastAsia" w:ascii="华文中宋" w:hAnsi="华文中宋" w:eastAsia="华文中宋"/>
                <w:szCs w:val="21"/>
                <w:highlight w:val="none"/>
              </w:rPr>
              <w:t>有系统性的问题（试剂，设备，程序，操作等），需要重复并排查原因。</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如果没有上述两种情况，则实验有效，可以分析样品的扩增结果。N+2个样品中</w:t>
            </w:r>
            <w:r>
              <w:rPr>
                <w:rFonts w:ascii="华文中宋" w:hAnsi="华文中宋" w:eastAsia="华文中宋"/>
                <w:szCs w:val="21"/>
                <w:highlight w:val="none"/>
              </w:rPr>
              <w:t>扩增</w:t>
            </w:r>
            <w:r>
              <w:rPr>
                <w:rFonts w:hint="eastAsia" w:ascii="华文中宋" w:hAnsi="华文中宋" w:eastAsia="华文中宋"/>
                <w:szCs w:val="21"/>
                <w:highlight w:val="none"/>
              </w:rPr>
              <w:t>产物的判断</w:t>
            </w:r>
            <w:r>
              <w:rPr>
                <w:rFonts w:ascii="华文中宋" w:hAnsi="华文中宋" w:eastAsia="华文中宋"/>
                <w:szCs w:val="21"/>
                <w:highlight w:val="none"/>
              </w:rPr>
              <w:t>为阳性，无则</w:t>
            </w:r>
            <w:r>
              <w:rPr>
                <w:rFonts w:hint="eastAsia" w:ascii="华文中宋" w:hAnsi="华文中宋" w:eastAsia="华文中宋"/>
                <w:szCs w:val="21"/>
                <w:highlight w:val="none"/>
              </w:rPr>
              <w:t>判定</w:t>
            </w:r>
            <w:r>
              <w:rPr>
                <w:rFonts w:ascii="华文中宋" w:hAnsi="华文中宋" w:eastAsia="华文中宋"/>
                <w:szCs w:val="21"/>
                <w:highlight w:val="none"/>
              </w:rPr>
              <w:t>为阴性</w:t>
            </w:r>
            <w:r>
              <w:rPr>
                <w:rFonts w:hint="eastAsia" w:ascii="华文中宋" w:hAnsi="华文中宋" w:eastAsia="华文中宋"/>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561" w:type="dxa"/>
          <w:wAfter w:w="173" w:type="dxa"/>
          <w:trHeight w:val="660" w:hRule="atLeast"/>
          <w:jc w:val="center"/>
        </w:trPr>
        <w:tc>
          <w:tcPr>
            <w:tcW w:w="1985" w:type="dxa"/>
            <w:gridSpan w:val="2"/>
            <w:tcBorders>
              <w:bottom w:val="single" w:color="auto" w:sz="4" w:space="0"/>
            </w:tcBorders>
          </w:tcPr>
          <w:p>
            <w:pPr>
              <w:spacing w:line="360" w:lineRule="auto"/>
              <w:jc w:val="right"/>
              <w:rPr>
                <w:rFonts w:ascii="华文中宋" w:hAnsi="华文中宋" w:eastAsia="华文中宋"/>
                <w:b/>
                <w:sz w:val="28"/>
                <w:szCs w:val="28"/>
                <w:highlight w:val="none"/>
              </w:rPr>
            </w:pPr>
            <w:r>
              <w:rPr>
                <w:rFonts w:hint="eastAsia" w:ascii="华文中宋" w:hAnsi="华文中宋" w:eastAsia="华文中宋"/>
                <w:b/>
                <w:sz w:val="28"/>
                <w:szCs w:val="28"/>
                <w:highlight w:val="none"/>
              </w:rPr>
              <w:t>关联产品</w:t>
            </w:r>
          </w:p>
        </w:tc>
        <w:tc>
          <w:tcPr>
            <w:tcW w:w="7395" w:type="dxa"/>
            <w:gridSpan w:val="2"/>
            <w:tcBorders>
              <w:bottom w:val="single" w:color="auto" w:sz="4" w:space="0"/>
            </w:tcBorders>
            <w:vAlign w:val="center"/>
          </w:tcPr>
          <w:p>
            <w:pPr>
              <w:spacing w:line="360" w:lineRule="auto"/>
              <w:rPr>
                <w:rFonts w:ascii="华文中宋" w:hAnsi="华文中宋" w:eastAsia="华文中宋"/>
                <w:szCs w:val="21"/>
                <w:highlight w:val="none"/>
              </w:rPr>
            </w:pPr>
            <w:r>
              <w:rPr>
                <w:rFonts w:hint="eastAsia" w:ascii="华文中宋" w:hAnsi="华文中宋" w:eastAsia="华文中宋"/>
                <w:color w:val="000000"/>
                <w:szCs w:val="21"/>
                <w:highlight w:val="none"/>
                <w:lang w:eastAsia="zh-CN"/>
              </w:rPr>
              <w:t>鸡</w:t>
            </w:r>
            <w:r>
              <w:rPr>
                <w:rFonts w:hint="eastAsia" w:ascii="华文中宋" w:hAnsi="华文中宋" w:eastAsia="华文中宋"/>
                <w:color w:val="000000"/>
                <w:szCs w:val="21"/>
                <w:highlight w:val="none"/>
              </w:rPr>
              <w:t>源</w:t>
            </w:r>
            <w:r>
              <w:rPr>
                <w:rFonts w:ascii="华文中宋" w:hAnsi="华文中宋" w:eastAsia="华文中宋"/>
                <w:color w:val="000000"/>
                <w:szCs w:val="21"/>
                <w:highlight w:val="none"/>
              </w:rPr>
              <w:t>性成分</w:t>
            </w:r>
            <w:r>
              <w:rPr>
                <w:rFonts w:hint="eastAsia" w:ascii="华文中宋" w:hAnsi="华文中宋" w:eastAsia="华文中宋"/>
                <w:color w:val="000000"/>
                <w:szCs w:val="21"/>
                <w:highlight w:val="none"/>
                <w:lang w:val="en-US" w:eastAsia="zh-CN"/>
              </w:rPr>
              <w:t>PCR</w:t>
            </w:r>
            <w:r>
              <w:rPr>
                <w:rFonts w:ascii="华文中宋" w:hAnsi="华文中宋" w:eastAsia="华文中宋"/>
                <w:szCs w:val="21"/>
                <w:highlight w:val="none"/>
              </w:rPr>
              <w:t>试剂盒</w:t>
            </w:r>
          </w:p>
        </w:tc>
      </w:tr>
    </w:tbl>
    <w:p>
      <w:pPr>
        <w:ind w:right="420"/>
        <w:jc w:val="right"/>
        <w:rPr>
          <w:rFonts w:ascii="华文中宋" w:hAnsi="华文中宋" w:eastAsia="华文中宋"/>
          <w:sz w:val="10"/>
          <w:szCs w:val="10"/>
          <w:highlight w:val="none"/>
        </w:rPr>
      </w:pPr>
      <w:r>
        <w:rPr>
          <w:rFonts w:hint="eastAsia" w:ascii="华文中宋" w:hAnsi="华文中宋" w:eastAsia="华文中宋"/>
          <w:sz w:val="10"/>
          <w:szCs w:val="10"/>
          <w:highlight w:val="none"/>
        </w:rPr>
        <w:t>2</w:t>
      </w:r>
      <w:r>
        <w:rPr>
          <w:rFonts w:ascii="华文中宋" w:hAnsi="华文中宋" w:eastAsia="华文中宋"/>
          <w:sz w:val="10"/>
          <w:szCs w:val="10"/>
          <w:highlight w:val="none"/>
        </w:rPr>
        <w:t>0211102</w:t>
      </w:r>
      <w:r>
        <w:rPr>
          <w:rFonts w:hint="eastAsia" w:ascii="华文中宋" w:hAnsi="华文中宋" w:eastAsia="华文中宋"/>
          <w:sz w:val="10"/>
          <w:szCs w:val="10"/>
          <w:highlight w:val="none"/>
        </w:rPr>
        <w:t>dx</w:t>
      </w:r>
    </w:p>
    <w:sectPr>
      <w:headerReference r:id="rId3" w:type="default"/>
      <w:pgSz w:w="11906" w:h="16838"/>
      <w:pgMar w:top="1090"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C0CC5"/>
    <w:multiLevelType w:val="multilevel"/>
    <w:tmpl w:val="487C0C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897AA1"/>
    <w:multiLevelType w:val="multilevel"/>
    <w:tmpl w:val="74897AA1"/>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CE"/>
    <w:rsid w:val="0000053A"/>
    <w:rsid w:val="00004A5B"/>
    <w:rsid w:val="00005B49"/>
    <w:rsid w:val="000115B5"/>
    <w:rsid w:val="00024C31"/>
    <w:rsid w:val="00031D35"/>
    <w:rsid w:val="00037987"/>
    <w:rsid w:val="0004468C"/>
    <w:rsid w:val="0005366E"/>
    <w:rsid w:val="00055C61"/>
    <w:rsid w:val="00056D53"/>
    <w:rsid w:val="00060CFD"/>
    <w:rsid w:val="00062820"/>
    <w:rsid w:val="000656BB"/>
    <w:rsid w:val="00076507"/>
    <w:rsid w:val="000806EB"/>
    <w:rsid w:val="000849D7"/>
    <w:rsid w:val="000859AB"/>
    <w:rsid w:val="00087028"/>
    <w:rsid w:val="00092491"/>
    <w:rsid w:val="00097C4E"/>
    <w:rsid w:val="000A26D0"/>
    <w:rsid w:val="000B18E1"/>
    <w:rsid w:val="000B3A0D"/>
    <w:rsid w:val="000D49A3"/>
    <w:rsid w:val="000F1455"/>
    <w:rsid w:val="000F6BC0"/>
    <w:rsid w:val="000F6F81"/>
    <w:rsid w:val="00103905"/>
    <w:rsid w:val="00103DCB"/>
    <w:rsid w:val="00105CF0"/>
    <w:rsid w:val="001100C8"/>
    <w:rsid w:val="00111B7C"/>
    <w:rsid w:val="0012511B"/>
    <w:rsid w:val="00133A04"/>
    <w:rsid w:val="0013442A"/>
    <w:rsid w:val="001348AE"/>
    <w:rsid w:val="00140988"/>
    <w:rsid w:val="00143B74"/>
    <w:rsid w:val="001540D8"/>
    <w:rsid w:val="00175E72"/>
    <w:rsid w:val="00183C20"/>
    <w:rsid w:val="0019381C"/>
    <w:rsid w:val="001938CE"/>
    <w:rsid w:val="001A2CC1"/>
    <w:rsid w:val="001B14BB"/>
    <w:rsid w:val="001B1E13"/>
    <w:rsid w:val="001B2DCF"/>
    <w:rsid w:val="001D299C"/>
    <w:rsid w:val="001E0CB0"/>
    <w:rsid w:val="001E5552"/>
    <w:rsid w:val="001F0584"/>
    <w:rsid w:val="001F18CF"/>
    <w:rsid w:val="001F4278"/>
    <w:rsid w:val="00207233"/>
    <w:rsid w:val="00210D0B"/>
    <w:rsid w:val="00215D47"/>
    <w:rsid w:val="00221FE5"/>
    <w:rsid w:val="00230FA8"/>
    <w:rsid w:val="00244623"/>
    <w:rsid w:val="00246EAB"/>
    <w:rsid w:val="002611E5"/>
    <w:rsid w:val="0026290E"/>
    <w:rsid w:val="00264C72"/>
    <w:rsid w:val="002719AA"/>
    <w:rsid w:val="00281745"/>
    <w:rsid w:val="00282664"/>
    <w:rsid w:val="00290059"/>
    <w:rsid w:val="002926C4"/>
    <w:rsid w:val="00296B98"/>
    <w:rsid w:val="002A0B04"/>
    <w:rsid w:val="002A7CDE"/>
    <w:rsid w:val="002B12F2"/>
    <w:rsid w:val="002B2EF4"/>
    <w:rsid w:val="002B3538"/>
    <w:rsid w:val="002B427C"/>
    <w:rsid w:val="002C20CA"/>
    <w:rsid w:val="002C26B0"/>
    <w:rsid w:val="002D0375"/>
    <w:rsid w:val="002E6103"/>
    <w:rsid w:val="002E6827"/>
    <w:rsid w:val="00311465"/>
    <w:rsid w:val="0031177F"/>
    <w:rsid w:val="003117D7"/>
    <w:rsid w:val="00346581"/>
    <w:rsid w:val="003474D9"/>
    <w:rsid w:val="0039073A"/>
    <w:rsid w:val="00395243"/>
    <w:rsid w:val="003A6EA3"/>
    <w:rsid w:val="003B3AE0"/>
    <w:rsid w:val="003B5727"/>
    <w:rsid w:val="003C2E9A"/>
    <w:rsid w:val="003C7EBD"/>
    <w:rsid w:val="003E150D"/>
    <w:rsid w:val="003E7C06"/>
    <w:rsid w:val="003F1D01"/>
    <w:rsid w:val="003F77F7"/>
    <w:rsid w:val="00402B12"/>
    <w:rsid w:val="00403749"/>
    <w:rsid w:val="00407DCE"/>
    <w:rsid w:val="00415201"/>
    <w:rsid w:val="004314BE"/>
    <w:rsid w:val="00444D60"/>
    <w:rsid w:val="00447AFE"/>
    <w:rsid w:val="00447D28"/>
    <w:rsid w:val="00484133"/>
    <w:rsid w:val="0048751C"/>
    <w:rsid w:val="004A39D2"/>
    <w:rsid w:val="004B5088"/>
    <w:rsid w:val="004C6746"/>
    <w:rsid w:val="004D1CBC"/>
    <w:rsid w:val="004D5A3C"/>
    <w:rsid w:val="004D63AC"/>
    <w:rsid w:val="004E4B47"/>
    <w:rsid w:val="004E7175"/>
    <w:rsid w:val="004F5614"/>
    <w:rsid w:val="00500D41"/>
    <w:rsid w:val="00516AA3"/>
    <w:rsid w:val="00516EC0"/>
    <w:rsid w:val="00523352"/>
    <w:rsid w:val="00525EC4"/>
    <w:rsid w:val="0052608A"/>
    <w:rsid w:val="005327E6"/>
    <w:rsid w:val="0054048E"/>
    <w:rsid w:val="00540E71"/>
    <w:rsid w:val="005459CD"/>
    <w:rsid w:val="00557B94"/>
    <w:rsid w:val="005609DA"/>
    <w:rsid w:val="005724EB"/>
    <w:rsid w:val="00577F45"/>
    <w:rsid w:val="005A61E6"/>
    <w:rsid w:val="005A741B"/>
    <w:rsid w:val="005B4FB6"/>
    <w:rsid w:val="005B7912"/>
    <w:rsid w:val="005C5764"/>
    <w:rsid w:val="005C606B"/>
    <w:rsid w:val="005C63E7"/>
    <w:rsid w:val="005C7175"/>
    <w:rsid w:val="005D3D05"/>
    <w:rsid w:val="005D524E"/>
    <w:rsid w:val="005E55F6"/>
    <w:rsid w:val="00603AD7"/>
    <w:rsid w:val="00621DAC"/>
    <w:rsid w:val="0062482A"/>
    <w:rsid w:val="00640370"/>
    <w:rsid w:val="00646B4F"/>
    <w:rsid w:val="006510AA"/>
    <w:rsid w:val="006532F7"/>
    <w:rsid w:val="00657D14"/>
    <w:rsid w:val="0066297B"/>
    <w:rsid w:val="00663054"/>
    <w:rsid w:val="006744A8"/>
    <w:rsid w:val="00682B2C"/>
    <w:rsid w:val="00687FA7"/>
    <w:rsid w:val="006943A3"/>
    <w:rsid w:val="006A35D3"/>
    <w:rsid w:val="006A4C13"/>
    <w:rsid w:val="006B1142"/>
    <w:rsid w:val="006B2EE5"/>
    <w:rsid w:val="006D2CD9"/>
    <w:rsid w:val="006E2E9C"/>
    <w:rsid w:val="006F4797"/>
    <w:rsid w:val="006F6B20"/>
    <w:rsid w:val="0070310B"/>
    <w:rsid w:val="00703200"/>
    <w:rsid w:val="00721A60"/>
    <w:rsid w:val="00723E17"/>
    <w:rsid w:val="00723F62"/>
    <w:rsid w:val="00734731"/>
    <w:rsid w:val="00740E44"/>
    <w:rsid w:val="00756FC2"/>
    <w:rsid w:val="00763E99"/>
    <w:rsid w:val="0076701D"/>
    <w:rsid w:val="00767B90"/>
    <w:rsid w:val="00770740"/>
    <w:rsid w:val="007910DA"/>
    <w:rsid w:val="00795B56"/>
    <w:rsid w:val="007962E4"/>
    <w:rsid w:val="007A0040"/>
    <w:rsid w:val="007A2D4A"/>
    <w:rsid w:val="007A4E7A"/>
    <w:rsid w:val="007A6515"/>
    <w:rsid w:val="007D6039"/>
    <w:rsid w:val="007D7839"/>
    <w:rsid w:val="007E0208"/>
    <w:rsid w:val="007E16C1"/>
    <w:rsid w:val="007F25F3"/>
    <w:rsid w:val="007F6F6A"/>
    <w:rsid w:val="008209C3"/>
    <w:rsid w:val="00822A73"/>
    <w:rsid w:val="0082771C"/>
    <w:rsid w:val="00833483"/>
    <w:rsid w:val="00852FA9"/>
    <w:rsid w:val="008601BC"/>
    <w:rsid w:val="00872B6D"/>
    <w:rsid w:val="00884833"/>
    <w:rsid w:val="008A6D89"/>
    <w:rsid w:val="008C4AC4"/>
    <w:rsid w:val="008D6025"/>
    <w:rsid w:val="008D70F1"/>
    <w:rsid w:val="008E29EF"/>
    <w:rsid w:val="008E7377"/>
    <w:rsid w:val="008F760B"/>
    <w:rsid w:val="008F7D47"/>
    <w:rsid w:val="0090161F"/>
    <w:rsid w:val="00920A9F"/>
    <w:rsid w:val="009276E6"/>
    <w:rsid w:val="00931BC6"/>
    <w:rsid w:val="0093660D"/>
    <w:rsid w:val="009577C3"/>
    <w:rsid w:val="0097688F"/>
    <w:rsid w:val="0098559D"/>
    <w:rsid w:val="00996B5F"/>
    <w:rsid w:val="009A089A"/>
    <w:rsid w:val="009A0A5F"/>
    <w:rsid w:val="009B062F"/>
    <w:rsid w:val="009B255C"/>
    <w:rsid w:val="009B60C8"/>
    <w:rsid w:val="00A12865"/>
    <w:rsid w:val="00A17925"/>
    <w:rsid w:val="00A17EDB"/>
    <w:rsid w:val="00A32BD0"/>
    <w:rsid w:val="00A32E7E"/>
    <w:rsid w:val="00A3404C"/>
    <w:rsid w:val="00A57CBE"/>
    <w:rsid w:val="00A61B69"/>
    <w:rsid w:val="00A65C26"/>
    <w:rsid w:val="00A728E1"/>
    <w:rsid w:val="00A774D6"/>
    <w:rsid w:val="00A81EC7"/>
    <w:rsid w:val="00AA4A48"/>
    <w:rsid w:val="00AA6B8F"/>
    <w:rsid w:val="00AB55A9"/>
    <w:rsid w:val="00AE7E99"/>
    <w:rsid w:val="00AF7DF9"/>
    <w:rsid w:val="00B035C5"/>
    <w:rsid w:val="00B139CC"/>
    <w:rsid w:val="00B16A26"/>
    <w:rsid w:val="00B33B5E"/>
    <w:rsid w:val="00B575B9"/>
    <w:rsid w:val="00B66DE4"/>
    <w:rsid w:val="00B9263B"/>
    <w:rsid w:val="00BB5176"/>
    <w:rsid w:val="00BD08EC"/>
    <w:rsid w:val="00BD3AE7"/>
    <w:rsid w:val="00BE0CE7"/>
    <w:rsid w:val="00BE12EE"/>
    <w:rsid w:val="00BE78D8"/>
    <w:rsid w:val="00BF07C0"/>
    <w:rsid w:val="00BF72B9"/>
    <w:rsid w:val="00C13988"/>
    <w:rsid w:val="00C27054"/>
    <w:rsid w:val="00C27F2B"/>
    <w:rsid w:val="00C31F5F"/>
    <w:rsid w:val="00C34FD3"/>
    <w:rsid w:val="00C529A9"/>
    <w:rsid w:val="00C54C55"/>
    <w:rsid w:val="00C709D5"/>
    <w:rsid w:val="00C71144"/>
    <w:rsid w:val="00C7755B"/>
    <w:rsid w:val="00C829BA"/>
    <w:rsid w:val="00C946BB"/>
    <w:rsid w:val="00CE14B4"/>
    <w:rsid w:val="00CF1051"/>
    <w:rsid w:val="00D0247D"/>
    <w:rsid w:val="00D12DB4"/>
    <w:rsid w:val="00D207FE"/>
    <w:rsid w:val="00D21CB8"/>
    <w:rsid w:val="00D45D67"/>
    <w:rsid w:val="00D468E1"/>
    <w:rsid w:val="00D57305"/>
    <w:rsid w:val="00D619C9"/>
    <w:rsid w:val="00D7053F"/>
    <w:rsid w:val="00D70C51"/>
    <w:rsid w:val="00D977C1"/>
    <w:rsid w:val="00D97B47"/>
    <w:rsid w:val="00DB70EE"/>
    <w:rsid w:val="00DC67ED"/>
    <w:rsid w:val="00DD132C"/>
    <w:rsid w:val="00DD13FD"/>
    <w:rsid w:val="00DD4221"/>
    <w:rsid w:val="00DE2700"/>
    <w:rsid w:val="00DE420F"/>
    <w:rsid w:val="00E05012"/>
    <w:rsid w:val="00E103AC"/>
    <w:rsid w:val="00E117B0"/>
    <w:rsid w:val="00E13291"/>
    <w:rsid w:val="00E14E8A"/>
    <w:rsid w:val="00E2169F"/>
    <w:rsid w:val="00E34D50"/>
    <w:rsid w:val="00E41717"/>
    <w:rsid w:val="00E55273"/>
    <w:rsid w:val="00E74907"/>
    <w:rsid w:val="00E952C8"/>
    <w:rsid w:val="00E95605"/>
    <w:rsid w:val="00E95A48"/>
    <w:rsid w:val="00EC5C50"/>
    <w:rsid w:val="00ED14A8"/>
    <w:rsid w:val="00ED4FFC"/>
    <w:rsid w:val="00EE0CFE"/>
    <w:rsid w:val="00EE1FDF"/>
    <w:rsid w:val="00EF46F3"/>
    <w:rsid w:val="00F2639A"/>
    <w:rsid w:val="00F2658A"/>
    <w:rsid w:val="00F35D7A"/>
    <w:rsid w:val="00F4024E"/>
    <w:rsid w:val="00F46407"/>
    <w:rsid w:val="00F51418"/>
    <w:rsid w:val="00F722B3"/>
    <w:rsid w:val="00F80DC0"/>
    <w:rsid w:val="00F9437F"/>
    <w:rsid w:val="00FB3161"/>
    <w:rsid w:val="00FC2F1A"/>
    <w:rsid w:val="00FC7C48"/>
    <w:rsid w:val="00FD44B6"/>
    <w:rsid w:val="00FD4622"/>
    <w:rsid w:val="00FE0485"/>
    <w:rsid w:val="00FE600A"/>
    <w:rsid w:val="00FF13D7"/>
    <w:rsid w:val="00FF33D3"/>
    <w:rsid w:val="00FF70F9"/>
    <w:rsid w:val="5C3D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tiandz</Company>
  <Pages>3</Pages>
  <Words>277</Words>
  <Characters>1581</Characters>
  <Lines>13</Lines>
  <Paragraphs>3</Paragraphs>
  <TotalTime>4</TotalTime>
  <ScaleCrop>false</ScaleCrop>
  <LinksUpToDate>false</LinksUpToDate>
  <CharactersWithSpaces>1855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2019-04-15T04:02:00Z</dcterms:created>
  <dc:creator>user</dc:creator>
  <cp:lastModifiedBy>xsdbe</cp:lastModifiedBy>
  <cp:lastPrinted>2019-04-17T08:20:00Z</cp:lastPrinted>
  <dcterms:modified xsi:type="dcterms:W3CDTF">2021-11-18T09:47:45Z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3EC1B69C248D4065BBA6677B9A22B26D</vt:lpwstr>
  </property>
</Properties>
</file>